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191" w:rsidRDefault="00EA3191" w:rsidP="00373BC8">
      <w:pPr>
        <w:rPr>
          <w:b/>
          <w:sz w:val="32"/>
          <w:szCs w:val="32"/>
        </w:rPr>
      </w:pPr>
      <w:r>
        <w:rPr>
          <w:b/>
          <w:sz w:val="32"/>
          <w:szCs w:val="32"/>
        </w:rPr>
        <w:t>CANTINA DI CONEGLIANO E VITTORIO VENETO SAC</w:t>
      </w:r>
    </w:p>
    <w:p w:rsidR="00EA3191" w:rsidRPr="00EA3191" w:rsidRDefault="00EA3191" w:rsidP="00373BC8">
      <w:pPr>
        <w:rPr>
          <w:b/>
          <w:sz w:val="22"/>
          <w:szCs w:val="22"/>
        </w:rPr>
      </w:pPr>
    </w:p>
    <w:p w:rsidR="00373BC8" w:rsidRDefault="002E29EE" w:rsidP="00373BC8">
      <w:pPr>
        <w:rPr>
          <w:b/>
          <w:sz w:val="32"/>
          <w:szCs w:val="32"/>
        </w:rPr>
      </w:pPr>
      <w:r w:rsidRPr="00937626">
        <w:rPr>
          <w:b/>
          <w:sz w:val="32"/>
          <w:szCs w:val="32"/>
        </w:rPr>
        <w:t>G</w:t>
      </w:r>
      <w:r w:rsidR="00345348">
        <w:rPr>
          <w:b/>
          <w:sz w:val="32"/>
          <w:szCs w:val="32"/>
        </w:rPr>
        <w:t xml:space="preserve">estione del </w:t>
      </w:r>
      <w:proofErr w:type="spellStart"/>
      <w:r w:rsidR="00345348">
        <w:rPr>
          <w:b/>
          <w:sz w:val="32"/>
          <w:szCs w:val="32"/>
        </w:rPr>
        <w:t>sottofila</w:t>
      </w:r>
      <w:proofErr w:type="spellEnd"/>
    </w:p>
    <w:p w:rsidR="00345348" w:rsidRPr="00937626" w:rsidRDefault="00345348" w:rsidP="00373BC8">
      <w:pPr>
        <w:rPr>
          <w:b/>
          <w:sz w:val="32"/>
          <w:szCs w:val="32"/>
        </w:rPr>
      </w:pPr>
    </w:p>
    <w:p w:rsidR="00DD6C83" w:rsidRDefault="00DD6C83" w:rsidP="00DD6C83">
      <w:pPr>
        <w:jc w:val="both"/>
      </w:pPr>
      <w:r>
        <w:t>Gentili Soci, l</w:t>
      </w:r>
      <w:r w:rsidRPr="00937626">
        <w:t xml:space="preserve">’attuale periodo dell’anno, immediatamente precedente al germogliamento, è solitamente dedicato al controllo delle malerbe, che </w:t>
      </w:r>
      <w:r>
        <w:t xml:space="preserve">può essere eseguito attraverso </w:t>
      </w:r>
      <w:r w:rsidRPr="00937626">
        <w:t>lavorazione meccanica oppure</w:t>
      </w:r>
      <w:r>
        <w:t xml:space="preserve"> con</w:t>
      </w:r>
      <w:r w:rsidRPr="00937626">
        <w:t xml:space="preserve"> la distribuzione di sostanze attive ad </w:t>
      </w:r>
      <w:r>
        <w:t xml:space="preserve">azione erbicida. I Consorzi di Tutela </w:t>
      </w:r>
      <w:r w:rsidRPr="00937626">
        <w:t xml:space="preserve">DOCG Conegliano </w:t>
      </w:r>
      <w:proofErr w:type="gramStart"/>
      <w:r w:rsidRPr="00937626">
        <w:t>Valdobbiadene  e</w:t>
      </w:r>
      <w:proofErr w:type="gramEnd"/>
      <w:r w:rsidRPr="00937626">
        <w:t xml:space="preserve"> DOC Prosecco stanno promuovendo nel territorio pratiche </w:t>
      </w:r>
      <w:r>
        <w:t>viticole virtuose suggerendo</w:t>
      </w:r>
      <w:r w:rsidRPr="00937626">
        <w:t xml:space="preserve"> vivamente ai  viticoltori la gestione meccanica del </w:t>
      </w:r>
      <w:proofErr w:type="spellStart"/>
      <w:r w:rsidRPr="00937626">
        <w:t>sottofila</w:t>
      </w:r>
      <w:proofErr w:type="spellEnd"/>
      <w:r w:rsidRPr="00937626">
        <w:t xml:space="preserve">, in sostituzione di quella </w:t>
      </w:r>
      <w:r>
        <w:t>chimica. I</w:t>
      </w:r>
      <w:r w:rsidRPr="00937626">
        <w:t>n considerazione</w:t>
      </w:r>
      <w:r>
        <w:t xml:space="preserve"> quindi,</w:t>
      </w:r>
      <w:r w:rsidRPr="00937626">
        <w:t xml:space="preserve"> delle importanti ricadute per l’ambiente e l’immagine del nostro territorio</w:t>
      </w:r>
      <w:r>
        <w:t>,</w:t>
      </w:r>
      <w:r w:rsidRPr="00937626">
        <w:t xml:space="preserve"> si vuole intraprendere assieme ai produttori un percorso virtuoso che porti all’esclusione dell’utilizzo di </w:t>
      </w:r>
      <w:proofErr w:type="spellStart"/>
      <w:r w:rsidRPr="00937626">
        <w:t>Glyphosate</w:t>
      </w:r>
      <w:proofErr w:type="spellEnd"/>
      <w:r w:rsidRPr="00937626">
        <w:t xml:space="preserve"> in un prossimo futuro. La Cantina di Conegliano e Vitt</w:t>
      </w:r>
      <w:r>
        <w:t>orio Veneto invita i pro</w:t>
      </w:r>
      <w:r w:rsidRPr="00937626">
        <w:t>p</w:t>
      </w:r>
      <w:r>
        <w:t>r</w:t>
      </w:r>
      <w:r w:rsidRPr="00937626">
        <w:t xml:space="preserve">i </w:t>
      </w:r>
      <w:r>
        <w:t>S</w:t>
      </w:r>
      <w:r w:rsidRPr="00937626">
        <w:t>o</w:t>
      </w:r>
      <w:r>
        <w:t>ci ad applicare i consigli riportati nel Protocollo Viticolo del Consorzio DOCG Conegliano Valdobbiadene e nel Vademecum del Consorzio DOC Prosecco,</w:t>
      </w:r>
      <w:r w:rsidRPr="00937626">
        <w:t xml:space="preserve"> una gestione che prediliga la soluzione </w:t>
      </w:r>
      <w:r>
        <w:t xml:space="preserve">meccanica rispetto alla quella chimica. Si ricorda inoltre che </w:t>
      </w:r>
      <w:proofErr w:type="gramStart"/>
      <w:r>
        <w:t>n</w:t>
      </w:r>
      <w:r w:rsidRPr="003C7DAF">
        <w:t>ei  5</w:t>
      </w:r>
      <w:proofErr w:type="gramEnd"/>
      <w:r w:rsidRPr="003C7DAF">
        <w:t xml:space="preserve"> </w:t>
      </w:r>
      <w:r>
        <w:t>comuni all’interno del territorio della DOCG Conegliano Valdobbiadene:</w:t>
      </w:r>
      <w:r w:rsidRPr="003C7DAF">
        <w:t xml:space="preserve"> Colle Umberto, Conegliano, San Pietro di Fele</w:t>
      </w:r>
      <w:r>
        <w:t>tto, Tarzo e Vittorio Veneto,</w:t>
      </w:r>
      <w:r w:rsidRPr="003C7DAF">
        <w:t xml:space="preserve"> con loro </w:t>
      </w:r>
      <w:r>
        <w:t>ordinanze</w:t>
      </w:r>
      <w:r w:rsidRPr="003C7DAF">
        <w:t xml:space="preserve"> hanno </w:t>
      </w:r>
      <w:r>
        <w:t>vietato</w:t>
      </w:r>
      <w:r w:rsidRPr="003C7DAF">
        <w:t xml:space="preserve"> </w:t>
      </w:r>
      <w:r>
        <w:t xml:space="preserve"> </w:t>
      </w:r>
      <w:r w:rsidRPr="003C7DAF">
        <w:t xml:space="preserve"> tem</w:t>
      </w:r>
      <w:r>
        <w:t>poraneamente</w:t>
      </w:r>
      <w:r w:rsidRPr="003C7DAF">
        <w:t xml:space="preserve"> </w:t>
      </w:r>
      <w:r w:rsidR="00575EE8">
        <w:t>l’</w:t>
      </w:r>
      <w:r w:rsidRPr="003C7DAF">
        <w:t xml:space="preserve">utilizzo di tutte le formulazioni contenenti il </w:t>
      </w:r>
      <w:proofErr w:type="spellStart"/>
      <w:r w:rsidRPr="003C7DAF">
        <w:t>Glyphosate</w:t>
      </w:r>
      <w:proofErr w:type="spellEnd"/>
      <w:r>
        <w:t>.</w:t>
      </w:r>
      <w:r w:rsidRPr="00937626">
        <w:t xml:space="preserve"> </w:t>
      </w:r>
    </w:p>
    <w:p w:rsidR="00DD6C83" w:rsidRPr="00333806" w:rsidRDefault="00DD6C83" w:rsidP="00DD6C83">
      <w:pPr>
        <w:jc w:val="both"/>
      </w:pPr>
      <w:r w:rsidRPr="00937626">
        <w:t xml:space="preserve">A completamento di quanto sopra riportato si ricorda che l’utilizzo di sostanze ad azione erbicida deve essere eseguito solo nei periodi nei quali lo sviluppo delle malerbe è ridotto: il periodo del pianto della vite oppure la fase che precede la caduta delle foglie; tali </w:t>
      </w:r>
      <w:r>
        <w:t>epoche</w:t>
      </w:r>
      <w:r w:rsidRPr="00937626">
        <w:t xml:space="preserve"> solitamente conse</w:t>
      </w:r>
      <w:r>
        <w:t xml:space="preserve">ntono interventi molto efficaci </w:t>
      </w:r>
      <w:r w:rsidRPr="00937626">
        <w:t>e, nello stesso tempo, la riduzione dei dosaggi di applicazione</w:t>
      </w:r>
      <w:r w:rsidRPr="00937626">
        <w:rPr>
          <w:sz w:val="32"/>
          <w:szCs w:val="32"/>
        </w:rPr>
        <w:t>.</w:t>
      </w:r>
    </w:p>
    <w:p w:rsidR="00877130" w:rsidRDefault="00877130" w:rsidP="00632360">
      <w:pPr>
        <w:rPr>
          <w:szCs w:val="28"/>
        </w:rPr>
      </w:pPr>
    </w:p>
    <w:p w:rsidR="00877130" w:rsidRDefault="00877130" w:rsidP="00632360">
      <w:pPr>
        <w:rPr>
          <w:szCs w:val="28"/>
        </w:rPr>
      </w:pPr>
      <w:r>
        <w:rPr>
          <w:szCs w:val="28"/>
        </w:rPr>
        <w:t>Di seguito si riportano alcune soluzioni suddiv</w:t>
      </w:r>
      <w:r w:rsidR="00D604AB">
        <w:rPr>
          <w:szCs w:val="28"/>
        </w:rPr>
        <w:t xml:space="preserve">ise per </w:t>
      </w:r>
      <w:r w:rsidR="00F3043F">
        <w:rPr>
          <w:szCs w:val="28"/>
        </w:rPr>
        <w:t xml:space="preserve">Consorzio di Tutela </w:t>
      </w:r>
      <w:r>
        <w:rPr>
          <w:szCs w:val="28"/>
        </w:rPr>
        <w:t>e per età del vigneto.</w:t>
      </w:r>
      <w:r w:rsidR="00F3043F">
        <w:rPr>
          <w:szCs w:val="28"/>
        </w:rPr>
        <w:t xml:space="preserve"> </w:t>
      </w:r>
    </w:p>
    <w:p w:rsidR="001E072E" w:rsidRPr="00877130" w:rsidRDefault="001E072E" w:rsidP="001E072E">
      <w:pPr>
        <w:tabs>
          <w:tab w:val="left" w:pos="1035"/>
          <w:tab w:val="center" w:pos="4816"/>
          <w:tab w:val="left" w:pos="8265"/>
        </w:tabs>
        <w:rPr>
          <w:szCs w:val="28"/>
        </w:rPr>
      </w:pPr>
      <w:r>
        <w:rPr>
          <w:szCs w:val="28"/>
        </w:rPr>
        <w:tab/>
      </w:r>
    </w:p>
    <w:tbl>
      <w:tblPr>
        <w:tblW w:w="9758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2835"/>
        <w:gridCol w:w="2835"/>
        <w:gridCol w:w="2835"/>
      </w:tblGrid>
      <w:tr w:rsidR="00121E3B" w:rsidTr="00121E3B">
        <w:trPr>
          <w:trHeight w:val="368"/>
        </w:trPr>
        <w:tc>
          <w:tcPr>
            <w:tcW w:w="1253" w:type="dxa"/>
            <w:shd w:val="clear" w:color="000000" w:fill="DBDBDB"/>
            <w:vAlign w:val="center"/>
          </w:tcPr>
          <w:p w:rsidR="00121E3B" w:rsidRDefault="00121E3B" w:rsidP="00090DE5">
            <w:pPr>
              <w:jc w:val="center"/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21E3B" w:rsidRDefault="00121E3B" w:rsidP="00090DE5">
            <w:pPr>
              <w:jc w:val="center"/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21E3B" w:rsidRDefault="00121E3B" w:rsidP="00090DE5">
            <w:pPr>
              <w:jc w:val="center"/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21E3B" w:rsidRDefault="00121E3B" w:rsidP="00090DE5">
            <w:pPr>
              <w:jc w:val="center"/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90DE5" w:rsidTr="00090DE5">
        <w:trPr>
          <w:trHeight w:val="797"/>
        </w:trPr>
        <w:tc>
          <w:tcPr>
            <w:tcW w:w="1253" w:type="dxa"/>
            <w:shd w:val="clear" w:color="000000" w:fill="DBDBDB"/>
            <w:vAlign w:val="center"/>
            <w:hideMark/>
          </w:tcPr>
          <w:p w:rsidR="00090DE5" w:rsidRDefault="00090DE5" w:rsidP="00090DE5">
            <w:pPr>
              <w:jc w:val="center"/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> Età del vigneto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:rsidR="00090DE5" w:rsidRDefault="00090DE5" w:rsidP="00090DE5">
            <w:pPr>
              <w:jc w:val="center"/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>Sostanze consigliate dal Protocollo Viticolo DOCG e Vademecum DOC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90DE5" w:rsidRDefault="00090DE5" w:rsidP="00090DE5">
            <w:pPr>
              <w:jc w:val="center"/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>Sostanze consentite nella zona DOC e DOCG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90DE5" w:rsidRDefault="00090DE5" w:rsidP="00090DE5">
            <w:pPr>
              <w:jc w:val="center"/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 xml:space="preserve">Sostanze consentite nei comuni di </w:t>
            </w:r>
            <w:r w:rsidRPr="00090DE5"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>Colle Umberto, Conegliano, San Pietro di Feletto, Tarzo e Vittorio Veneto</w:t>
            </w:r>
          </w:p>
        </w:tc>
      </w:tr>
      <w:tr w:rsidR="00090DE5" w:rsidTr="0061430E">
        <w:trPr>
          <w:trHeight w:val="397"/>
        </w:trPr>
        <w:tc>
          <w:tcPr>
            <w:tcW w:w="1253" w:type="dxa"/>
            <w:shd w:val="clear" w:color="000000" w:fill="DBDBDB"/>
            <w:vAlign w:val="center"/>
            <w:hideMark/>
          </w:tcPr>
          <w:p w:rsidR="00090DE5" w:rsidRDefault="0061430E" w:rsidP="00090DE5">
            <w:pPr>
              <w:jc w:val="center"/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>I</w:t>
            </w:r>
            <w:r w:rsidR="00090DE5"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>mpianto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0DE5" w:rsidRDefault="00090DE5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Diflufenican</w:t>
            </w:r>
            <w:proofErr w:type="spellEnd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Pendimetalin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90DE5" w:rsidRDefault="00090DE5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Diflufenican</w:t>
            </w:r>
            <w:proofErr w:type="spellEnd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Pendimetalin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90DE5" w:rsidRDefault="00090DE5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Diflufenican</w:t>
            </w:r>
            <w:proofErr w:type="spellEnd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Pendimetalin</w:t>
            </w:r>
            <w:proofErr w:type="spellEnd"/>
          </w:p>
        </w:tc>
      </w:tr>
      <w:tr w:rsidR="00090DE5" w:rsidTr="0061430E">
        <w:trPr>
          <w:trHeight w:val="397"/>
        </w:trPr>
        <w:tc>
          <w:tcPr>
            <w:tcW w:w="1253" w:type="dxa"/>
            <w:shd w:val="clear" w:color="000000" w:fill="DBDBDB"/>
            <w:vAlign w:val="center"/>
            <w:hideMark/>
          </w:tcPr>
          <w:p w:rsidR="00090DE5" w:rsidRDefault="00090DE5" w:rsidP="00090DE5">
            <w:pPr>
              <w:jc w:val="center"/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>1°- 2° anno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0DE5" w:rsidRDefault="00090DE5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Diflufenican</w:t>
            </w:r>
            <w:proofErr w:type="spellEnd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Pendimetalin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90DE5" w:rsidRDefault="00090DE5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Pendimetanil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90DE5" w:rsidRDefault="00090DE5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Diflufenican</w:t>
            </w:r>
            <w:proofErr w:type="spellEnd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Pendimetalin</w:t>
            </w:r>
            <w:proofErr w:type="spellEnd"/>
          </w:p>
        </w:tc>
      </w:tr>
      <w:tr w:rsidR="00090DE5" w:rsidTr="0061430E">
        <w:trPr>
          <w:trHeight w:val="397"/>
        </w:trPr>
        <w:tc>
          <w:tcPr>
            <w:tcW w:w="1253" w:type="dxa"/>
            <w:vMerge w:val="restart"/>
            <w:shd w:val="clear" w:color="000000" w:fill="DBDBDB"/>
            <w:vAlign w:val="center"/>
            <w:hideMark/>
          </w:tcPr>
          <w:p w:rsidR="00090DE5" w:rsidRDefault="00090DE5" w:rsidP="00090DE5">
            <w:pPr>
              <w:jc w:val="center"/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>3°- 4°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090DE5" w:rsidRDefault="00090DE5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Diflufenican</w:t>
            </w:r>
            <w:proofErr w:type="spellEnd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Pendimetalin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90DE5" w:rsidRDefault="00090DE5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Glyphosate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090DE5" w:rsidRDefault="00090DE5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Diflufenican</w:t>
            </w:r>
            <w:proofErr w:type="spellEnd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Pendimetalin</w:t>
            </w:r>
            <w:proofErr w:type="spellEnd"/>
          </w:p>
        </w:tc>
      </w:tr>
      <w:tr w:rsidR="00090DE5" w:rsidTr="0061430E">
        <w:trPr>
          <w:trHeight w:val="397"/>
        </w:trPr>
        <w:tc>
          <w:tcPr>
            <w:tcW w:w="1253" w:type="dxa"/>
            <w:vMerge/>
            <w:vAlign w:val="center"/>
            <w:hideMark/>
          </w:tcPr>
          <w:p w:rsidR="00090DE5" w:rsidRDefault="00090DE5" w:rsidP="00090DE5">
            <w:pPr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90DE5" w:rsidRDefault="00090DE5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0DE5" w:rsidRDefault="00090DE5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Glyphosate+Flazasulfuron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90DE5" w:rsidRDefault="00090DE5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</w:p>
        </w:tc>
      </w:tr>
      <w:tr w:rsidR="00090DE5" w:rsidTr="0061430E">
        <w:trPr>
          <w:trHeight w:val="397"/>
        </w:trPr>
        <w:tc>
          <w:tcPr>
            <w:tcW w:w="1253" w:type="dxa"/>
            <w:vMerge/>
            <w:vAlign w:val="center"/>
            <w:hideMark/>
          </w:tcPr>
          <w:p w:rsidR="00090DE5" w:rsidRDefault="00090DE5" w:rsidP="00090DE5">
            <w:pPr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90DE5" w:rsidRDefault="00090DE5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0DE5" w:rsidRDefault="00090DE5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Glyphosate+Pendimetalin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90DE5" w:rsidRDefault="00090DE5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</w:p>
        </w:tc>
      </w:tr>
      <w:tr w:rsidR="00090DE5" w:rsidTr="0061430E">
        <w:trPr>
          <w:trHeight w:val="397"/>
        </w:trPr>
        <w:tc>
          <w:tcPr>
            <w:tcW w:w="1253" w:type="dxa"/>
            <w:vMerge w:val="restart"/>
            <w:shd w:val="clear" w:color="000000" w:fill="DBDBDB"/>
            <w:vAlign w:val="center"/>
            <w:hideMark/>
          </w:tcPr>
          <w:p w:rsidR="00090DE5" w:rsidRDefault="00090DE5" w:rsidP="00090DE5">
            <w:pPr>
              <w:jc w:val="center"/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>Adulte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0DE5" w:rsidRDefault="00090DE5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Pendimetalin</w:t>
            </w:r>
            <w:proofErr w:type="spellEnd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Flazasulfuron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90DE5" w:rsidRDefault="00090DE5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Glyphosate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90DE5" w:rsidRDefault="00090DE5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Pendimetalin</w:t>
            </w:r>
            <w:proofErr w:type="spellEnd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Flazasulfuron</w:t>
            </w:r>
            <w:proofErr w:type="spellEnd"/>
          </w:p>
        </w:tc>
      </w:tr>
      <w:tr w:rsidR="00090DE5" w:rsidTr="0061430E">
        <w:trPr>
          <w:trHeight w:val="397"/>
        </w:trPr>
        <w:tc>
          <w:tcPr>
            <w:tcW w:w="1253" w:type="dxa"/>
            <w:vMerge/>
            <w:vAlign w:val="center"/>
            <w:hideMark/>
          </w:tcPr>
          <w:p w:rsidR="00090DE5" w:rsidRDefault="00090DE5" w:rsidP="00090DE5">
            <w:pPr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0DE5" w:rsidRDefault="00090DE5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Diflufenican+Pendimetalin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90DE5" w:rsidRDefault="00090DE5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Glyphosate+Flazasulfuron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90DE5" w:rsidRDefault="00090DE5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Diflufenican+Pendimetalin</w:t>
            </w:r>
            <w:proofErr w:type="spellEnd"/>
          </w:p>
        </w:tc>
      </w:tr>
      <w:tr w:rsidR="00090DE5" w:rsidTr="0061430E">
        <w:trPr>
          <w:trHeight w:val="397"/>
        </w:trPr>
        <w:tc>
          <w:tcPr>
            <w:tcW w:w="1253" w:type="dxa"/>
            <w:vMerge/>
            <w:vAlign w:val="center"/>
            <w:hideMark/>
          </w:tcPr>
          <w:p w:rsidR="00090DE5" w:rsidRDefault="00090DE5" w:rsidP="00090DE5">
            <w:pPr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0DE5" w:rsidRDefault="0061430E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0DE5" w:rsidRDefault="00090DE5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Glyphosate+Pendimetalin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90DE5" w:rsidRDefault="0061430E" w:rsidP="0061430E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-</w:t>
            </w:r>
          </w:p>
        </w:tc>
      </w:tr>
    </w:tbl>
    <w:p w:rsidR="005125B2" w:rsidRDefault="005125B2"/>
    <w:p w:rsidR="00B30C79" w:rsidRDefault="00B30C79">
      <w:r>
        <w:t>La tabella è così composta:</w:t>
      </w:r>
    </w:p>
    <w:p w:rsidR="00B30C79" w:rsidRDefault="00B30C79" w:rsidP="00060D42">
      <w:pPr>
        <w:pStyle w:val="Paragrafoelenco"/>
        <w:numPr>
          <w:ilvl w:val="0"/>
          <w:numId w:val="2"/>
        </w:numPr>
      </w:pPr>
      <w:r>
        <w:t>Nella prima colonna si riporta la suddivisione per età dei vigneti.</w:t>
      </w:r>
    </w:p>
    <w:p w:rsidR="00B30C79" w:rsidRDefault="00B30C79" w:rsidP="00060D42">
      <w:pPr>
        <w:pStyle w:val="Paragrafoelenco"/>
        <w:numPr>
          <w:ilvl w:val="0"/>
          <w:numId w:val="2"/>
        </w:numPr>
      </w:pPr>
      <w:r>
        <w:t xml:space="preserve">Nella seconda colonna sono riportate le sostanze attive </w:t>
      </w:r>
      <w:r w:rsidR="0050787B">
        <w:t xml:space="preserve">consigliate </w:t>
      </w:r>
      <w:r>
        <w:t xml:space="preserve">dal Protocollo Viticolo </w:t>
      </w:r>
      <w:r w:rsidR="00060D42">
        <w:t xml:space="preserve">                                                                       D</w:t>
      </w:r>
      <w:r w:rsidR="00781C63">
        <w:t>OCG e dal Vademecum DOC.</w:t>
      </w:r>
    </w:p>
    <w:p w:rsidR="0061430E" w:rsidRDefault="00B30C79" w:rsidP="00781C63">
      <w:pPr>
        <w:pStyle w:val="Paragrafoelenco"/>
        <w:numPr>
          <w:ilvl w:val="0"/>
          <w:numId w:val="2"/>
        </w:numPr>
      </w:pPr>
      <w:r>
        <w:t>Nella terza colonna si riportano le sostanze attive attualmente consentite</w:t>
      </w:r>
      <w:r w:rsidR="00A76CA7">
        <w:t xml:space="preserve"> nella zona di produzione</w:t>
      </w:r>
      <w:r>
        <w:t xml:space="preserve">. </w:t>
      </w:r>
    </w:p>
    <w:p w:rsidR="005125B2" w:rsidRDefault="0061430E" w:rsidP="00EA3191">
      <w:pPr>
        <w:pStyle w:val="Paragrafoelenco"/>
        <w:numPr>
          <w:ilvl w:val="0"/>
          <w:numId w:val="2"/>
        </w:numPr>
      </w:pPr>
      <w:r>
        <w:t xml:space="preserve">Nella quarta colonna sono riportate le sostanze utilizzabili nei 5 comuni </w:t>
      </w:r>
      <w:r w:rsidR="00DD6C83">
        <w:t>succitati.</w:t>
      </w:r>
    </w:p>
    <w:p w:rsidR="00EA3191" w:rsidRDefault="00EA3191" w:rsidP="00EA3191">
      <w:pPr>
        <w:pStyle w:val="Paragrafoelenco"/>
      </w:pPr>
      <w:bookmarkStart w:id="0" w:name="_GoBack"/>
      <w:bookmarkEnd w:id="0"/>
    </w:p>
    <w:p w:rsidR="00B30C79" w:rsidRDefault="00DD6C83">
      <w:r>
        <w:t>Segue….</w:t>
      </w:r>
    </w:p>
    <w:p w:rsidR="00345348" w:rsidRDefault="00345348"/>
    <w:p w:rsidR="00B30C79" w:rsidRDefault="00B30C79"/>
    <w:p w:rsidR="00B30C79" w:rsidRDefault="00B30C79"/>
    <w:p w:rsidR="005125B2" w:rsidRDefault="005125B2"/>
    <w:p w:rsidR="005125B2" w:rsidRDefault="005125B2"/>
    <w:p w:rsidR="00373BC8" w:rsidRDefault="0028341C">
      <w:r>
        <w:t>Di seguito si riportano le miscele con i dosaggi e i volumi di utilizzo:</w:t>
      </w:r>
    </w:p>
    <w:p w:rsidR="00DD6C83" w:rsidRDefault="00DD6C83"/>
    <w:p w:rsidR="00DD6C83" w:rsidRDefault="00DD6C83"/>
    <w:tbl>
      <w:tblPr>
        <w:tblW w:w="7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2900"/>
        <w:gridCol w:w="2140"/>
      </w:tblGrid>
      <w:tr w:rsidR="00B30C79" w:rsidTr="00B30C79">
        <w:trPr>
          <w:trHeight w:val="3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Sostanza attiva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Dose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Volume (L/ha)</w:t>
            </w:r>
          </w:p>
        </w:tc>
      </w:tr>
      <w:tr w:rsidR="00B30C79" w:rsidTr="00B30C79">
        <w:trPr>
          <w:trHeight w:val="32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Diflufenican</w:t>
            </w:r>
            <w:proofErr w:type="spellEnd"/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0,5-0,6 l/ha per i formulati al 50%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200-600</w:t>
            </w:r>
          </w:p>
        </w:tc>
      </w:tr>
      <w:tr w:rsidR="00B30C79" w:rsidTr="00B30C79">
        <w:trPr>
          <w:trHeight w:val="32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Flazasulfuron</w:t>
            </w:r>
            <w:proofErr w:type="spellEnd"/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160 g/ha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200-400</w:t>
            </w:r>
          </w:p>
        </w:tc>
      </w:tr>
      <w:tr w:rsidR="00B30C79" w:rsidTr="00B30C79">
        <w:trPr>
          <w:trHeight w:val="32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Pendimetalin</w:t>
            </w:r>
            <w:proofErr w:type="spellEnd"/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2,5 l/ha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200-400</w:t>
            </w:r>
          </w:p>
        </w:tc>
      </w:tr>
      <w:tr w:rsidR="00B30C79" w:rsidTr="00B30C79">
        <w:trPr>
          <w:trHeight w:val="3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Glyfosate</w:t>
            </w:r>
            <w:proofErr w:type="spellEnd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2-3% in volume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200-600</w:t>
            </w:r>
          </w:p>
        </w:tc>
      </w:tr>
      <w:tr w:rsidR="00B30C79" w:rsidTr="00B30C79">
        <w:trPr>
          <w:trHeight w:val="3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Glyfosate+Flazasulfuron</w:t>
            </w:r>
            <w:proofErr w:type="spellEnd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2,5 l/ha + 60-80 g/ha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200-400</w:t>
            </w:r>
          </w:p>
        </w:tc>
      </w:tr>
      <w:tr w:rsidR="00B30C79" w:rsidTr="00B30C79">
        <w:trPr>
          <w:trHeight w:val="3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Glyfosate+Oxadiazon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2,5 l/ha + 1,75 l/ha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almeno 300</w:t>
            </w:r>
          </w:p>
        </w:tc>
      </w:tr>
      <w:tr w:rsidR="00B30C79" w:rsidTr="00B30C79">
        <w:trPr>
          <w:trHeight w:val="3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Diflufenican</w:t>
            </w:r>
            <w:proofErr w:type="spellEnd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Flazasulfuron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0,35 l/ha + 60-80 g/ha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200-400</w:t>
            </w:r>
          </w:p>
        </w:tc>
      </w:tr>
      <w:tr w:rsidR="00B30C79" w:rsidTr="00B30C79">
        <w:trPr>
          <w:trHeight w:val="32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Diflufenican</w:t>
            </w:r>
            <w:proofErr w:type="spellEnd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Pendimetalin</w:t>
            </w:r>
            <w:proofErr w:type="spellEnd"/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0,35 l/ha + 1,75 l/ha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200-400</w:t>
            </w:r>
          </w:p>
        </w:tc>
      </w:tr>
      <w:tr w:rsidR="00B30C79" w:rsidTr="00B30C79">
        <w:trPr>
          <w:trHeight w:val="3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Carfentrazone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1 l/ha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 xml:space="preserve">300-400 </w:t>
            </w:r>
          </w:p>
        </w:tc>
      </w:tr>
      <w:tr w:rsidR="00B30C79" w:rsidTr="00B30C79">
        <w:trPr>
          <w:trHeight w:val="32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Pyraflufen-ethyl</w:t>
            </w:r>
            <w:proofErr w:type="spellEnd"/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0,8 L/ha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300-400</w:t>
            </w:r>
          </w:p>
        </w:tc>
      </w:tr>
      <w:tr w:rsidR="00B30C79" w:rsidTr="00B30C79">
        <w:trPr>
          <w:trHeight w:val="32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Carfentrazone</w:t>
            </w:r>
            <w:proofErr w:type="spellEnd"/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1 l/ha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 xml:space="preserve">300-400 </w:t>
            </w:r>
          </w:p>
        </w:tc>
      </w:tr>
      <w:tr w:rsidR="00B30C79" w:rsidTr="00B30C79">
        <w:trPr>
          <w:trHeight w:val="32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Pyraflufen-ethyl</w:t>
            </w:r>
            <w:proofErr w:type="spellEnd"/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0,8 L/ha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79" w:rsidRDefault="00B30C79">
            <w:pPr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300-400</w:t>
            </w:r>
          </w:p>
        </w:tc>
      </w:tr>
    </w:tbl>
    <w:p w:rsidR="005125B2" w:rsidRDefault="005125B2"/>
    <w:p w:rsidR="00EA3191" w:rsidRDefault="00EA3191"/>
    <w:p w:rsidR="00EA3191" w:rsidRDefault="00EA3191"/>
    <w:p w:rsidR="00EA3191" w:rsidRDefault="00EA3191">
      <w:r>
        <w:t>Vittorio Veneto, 20 marzo ’17</w:t>
      </w:r>
      <w:r>
        <w:tab/>
      </w:r>
      <w:r>
        <w:tab/>
      </w:r>
    </w:p>
    <w:p w:rsidR="00EA3191" w:rsidRDefault="00EA3191"/>
    <w:p w:rsidR="00EA3191" w:rsidRDefault="00EA3191"/>
    <w:p w:rsidR="00EA3191" w:rsidRPr="00EA3191" w:rsidRDefault="00EA3191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3191">
        <w:rPr>
          <w:sz w:val="22"/>
          <w:szCs w:val="22"/>
        </w:rPr>
        <w:t xml:space="preserve">Cantina di Conegliano e Vittorio Veneto </w:t>
      </w:r>
      <w:proofErr w:type="spellStart"/>
      <w:r w:rsidRPr="00EA3191">
        <w:rPr>
          <w:sz w:val="22"/>
          <w:szCs w:val="22"/>
        </w:rPr>
        <w:t>sac</w:t>
      </w:r>
      <w:proofErr w:type="spellEnd"/>
    </w:p>
    <w:p w:rsidR="00EA3191" w:rsidRPr="00EA3191" w:rsidRDefault="00EA3191">
      <w:pPr>
        <w:rPr>
          <w:sz w:val="22"/>
          <w:szCs w:val="22"/>
        </w:rPr>
      </w:pPr>
      <w:r w:rsidRPr="00EA3191">
        <w:rPr>
          <w:sz w:val="22"/>
          <w:szCs w:val="22"/>
        </w:rPr>
        <w:tab/>
      </w:r>
      <w:r w:rsidRPr="00EA3191">
        <w:rPr>
          <w:sz w:val="22"/>
          <w:szCs w:val="22"/>
        </w:rPr>
        <w:tab/>
      </w:r>
      <w:r w:rsidRPr="00EA3191">
        <w:rPr>
          <w:sz w:val="22"/>
          <w:szCs w:val="22"/>
        </w:rPr>
        <w:tab/>
      </w:r>
      <w:r w:rsidRPr="00EA3191">
        <w:rPr>
          <w:sz w:val="22"/>
          <w:szCs w:val="22"/>
        </w:rPr>
        <w:tab/>
      </w:r>
      <w:r w:rsidRPr="00EA3191">
        <w:rPr>
          <w:sz w:val="22"/>
          <w:szCs w:val="22"/>
        </w:rPr>
        <w:tab/>
      </w:r>
      <w:r w:rsidRPr="00EA3191">
        <w:rPr>
          <w:sz w:val="22"/>
          <w:szCs w:val="22"/>
        </w:rPr>
        <w:tab/>
      </w:r>
      <w:r w:rsidRPr="00EA3191">
        <w:rPr>
          <w:sz w:val="22"/>
          <w:szCs w:val="22"/>
        </w:rPr>
        <w:tab/>
        <w:t xml:space="preserve">                   Servizio Viticolo</w:t>
      </w:r>
    </w:p>
    <w:sectPr w:rsidR="00EA3191" w:rsidRPr="00EA3191" w:rsidSect="00EA3191">
      <w:pgSz w:w="11900" w:h="16840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512E"/>
    <w:multiLevelType w:val="hybridMultilevel"/>
    <w:tmpl w:val="758E45E2"/>
    <w:lvl w:ilvl="0" w:tplc="60AE57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30153"/>
    <w:multiLevelType w:val="hybridMultilevel"/>
    <w:tmpl w:val="FED85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C8"/>
    <w:rsid w:val="00024021"/>
    <w:rsid w:val="0004420E"/>
    <w:rsid w:val="00045F1A"/>
    <w:rsid w:val="00060D42"/>
    <w:rsid w:val="00090DE5"/>
    <w:rsid w:val="00121E3B"/>
    <w:rsid w:val="00152F8B"/>
    <w:rsid w:val="00172451"/>
    <w:rsid w:val="00190C22"/>
    <w:rsid w:val="001E072E"/>
    <w:rsid w:val="001F4CAE"/>
    <w:rsid w:val="0024218F"/>
    <w:rsid w:val="0028341C"/>
    <w:rsid w:val="002E29EE"/>
    <w:rsid w:val="00345348"/>
    <w:rsid w:val="00347A4E"/>
    <w:rsid w:val="00373BC8"/>
    <w:rsid w:val="003805F2"/>
    <w:rsid w:val="003A33B5"/>
    <w:rsid w:val="003C6098"/>
    <w:rsid w:val="003C7DAF"/>
    <w:rsid w:val="003D7B8E"/>
    <w:rsid w:val="003F3841"/>
    <w:rsid w:val="0044082D"/>
    <w:rsid w:val="0050787B"/>
    <w:rsid w:val="005125B2"/>
    <w:rsid w:val="00575EE8"/>
    <w:rsid w:val="0061430E"/>
    <w:rsid w:val="00616BDB"/>
    <w:rsid w:val="00632360"/>
    <w:rsid w:val="006373D6"/>
    <w:rsid w:val="00757524"/>
    <w:rsid w:val="00781C63"/>
    <w:rsid w:val="008041A0"/>
    <w:rsid w:val="008344BD"/>
    <w:rsid w:val="0083704A"/>
    <w:rsid w:val="00877130"/>
    <w:rsid w:val="00937626"/>
    <w:rsid w:val="009D6406"/>
    <w:rsid w:val="00A24F2B"/>
    <w:rsid w:val="00A70C45"/>
    <w:rsid w:val="00A76CA7"/>
    <w:rsid w:val="00AB1853"/>
    <w:rsid w:val="00B30C79"/>
    <w:rsid w:val="00B941D0"/>
    <w:rsid w:val="00BE0FDA"/>
    <w:rsid w:val="00CA5131"/>
    <w:rsid w:val="00CE63AD"/>
    <w:rsid w:val="00D604AB"/>
    <w:rsid w:val="00DD23A2"/>
    <w:rsid w:val="00DD6C83"/>
    <w:rsid w:val="00E654D5"/>
    <w:rsid w:val="00EA3191"/>
    <w:rsid w:val="00EB6A1C"/>
    <w:rsid w:val="00F3043F"/>
    <w:rsid w:val="00FA5978"/>
    <w:rsid w:val="00FB6620"/>
    <w:rsid w:val="00FB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0C79"/>
    <w:rPr>
      <w:rFonts w:ascii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0C7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19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191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7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Merlo</dc:creator>
  <cp:keywords/>
  <dc:description/>
  <cp:lastModifiedBy>user</cp:lastModifiedBy>
  <cp:revision>6</cp:revision>
  <cp:lastPrinted>2017-03-18T07:31:00Z</cp:lastPrinted>
  <dcterms:created xsi:type="dcterms:W3CDTF">2017-03-17T14:38:00Z</dcterms:created>
  <dcterms:modified xsi:type="dcterms:W3CDTF">2017-03-18T07:32:00Z</dcterms:modified>
</cp:coreProperties>
</file>