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5F3" w:rsidRDefault="00D625F3" w:rsidP="00240528">
      <w:pPr>
        <w:rPr>
          <w:sz w:val="21"/>
          <w:szCs w:val="21"/>
        </w:rPr>
      </w:pPr>
      <w:bookmarkStart w:id="0" w:name="_GoBack"/>
      <w:bookmarkEnd w:id="0"/>
    </w:p>
    <w:p w:rsidR="00D625F3" w:rsidRDefault="00D625F3" w:rsidP="00240528">
      <w:pPr>
        <w:rPr>
          <w:sz w:val="21"/>
          <w:szCs w:val="21"/>
        </w:rPr>
      </w:pPr>
    </w:p>
    <w:p w:rsidR="00D625F3" w:rsidRDefault="00D625F3" w:rsidP="00240528">
      <w:pPr>
        <w:rPr>
          <w:sz w:val="21"/>
          <w:szCs w:val="21"/>
        </w:rPr>
      </w:pPr>
    </w:p>
    <w:p w:rsidR="00D625F3" w:rsidRDefault="00D625F3" w:rsidP="00240528">
      <w:pPr>
        <w:rPr>
          <w:sz w:val="21"/>
          <w:szCs w:val="21"/>
        </w:rPr>
      </w:pPr>
    </w:p>
    <w:p w:rsidR="00D625F3" w:rsidRDefault="00D625F3" w:rsidP="00240528">
      <w:pPr>
        <w:rPr>
          <w:sz w:val="21"/>
          <w:szCs w:val="21"/>
        </w:rPr>
      </w:pPr>
    </w:p>
    <w:p w:rsidR="00D625F3" w:rsidRDefault="00D625F3" w:rsidP="00240528">
      <w:pPr>
        <w:rPr>
          <w:sz w:val="21"/>
          <w:szCs w:val="21"/>
        </w:rPr>
      </w:pPr>
      <w:r>
        <w:rPr>
          <w:sz w:val="21"/>
          <w:szCs w:val="21"/>
        </w:rPr>
        <w:t>BOLLETTINO DEL 21/04/2017</w:t>
      </w:r>
    </w:p>
    <w:p w:rsidR="00D625F3" w:rsidRDefault="00D625F3" w:rsidP="00240528">
      <w:pPr>
        <w:rPr>
          <w:sz w:val="21"/>
          <w:szCs w:val="21"/>
        </w:rPr>
      </w:pPr>
    </w:p>
    <w:p w:rsidR="00240528" w:rsidRPr="00A11E8D" w:rsidRDefault="00240528" w:rsidP="00240528">
      <w:pPr>
        <w:rPr>
          <w:sz w:val="21"/>
          <w:szCs w:val="21"/>
        </w:rPr>
      </w:pPr>
      <w:r w:rsidRPr="00A11E8D">
        <w:rPr>
          <w:sz w:val="21"/>
          <w:szCs w:val="21"/>
        </w:rPr>
        <w:t>METEO</w:t>
      </w:r>
    </w:p>
    <w:p w:rsidR="00240528" w:rsidRPr="00A11E8D" w:rsidRDefault="00240528" w:rsidP="00240528">
      <w:pPr>
        <w:rPr>
          <w:sz w:val="21"/>
          <w:szCs w:val="21"/>
        </w:rPr>
      </w:pPr>
    </w:p>
    <w:p w:rsidR="00240528" w:rsidRPr="00A11E8D" w:rsidRDefault="00240528" w:rsidP="00240528">
      <w:pPr>
        <w:jc w:val="both"/>
        <w:rPr>
          <w:sz w:val="21"/>
          <w:szCs w:val="21"/>
        </w:rPr>
      </w:pPr>
      <w:r w:rsidRPr="00A11E8D">
        <w:rPr>
          <w:sz w:val="21"/>
          <w:szCs w:val="21"/>
        </w:rPr>
        <w:t>ARPAV SERVIZI</w:t>
      </w:r>
      <w:r>
        <w:rPr>
          <w:sz w:val="21"/>
          <w:szCs w:val="21"/>
        </w:rPr>
        <w:t xml:space="preserve">O METEOROLOGICO METEO REGIONALE non prevede piogge fino alla giornata di domenica 23 Aprile </w:t>
      </w:r>
      <w:r w:rsidRPr="00A11E8D">
        <w:rPr>
          <w:sz w:val="21"/>
          <w:szCs w:val="21"/>
        </w:rPr>
        <w:t xml:space="preserve">(fonte dati: </w:t>
      </w:r>
      <w:hyperlink r:id="rId4" w:history="1">
        <w:r w:rsidRPr="00A11E8D">
          <w:rPr>
            <w:rStyle w:val="Collegamentoipertestuale"/>
            <w:sz w:val="21"/>
            <w:szCs w:val="21"/>
          </w:rPr>
          <w:t>www.arpa.veneto.it</w:t>
        </w:r>
      </w:hyperlink>
      <w:r w:rsidRPr="00A11E8D">
        <w:rPr>
          <w:sz w:val="21"/>
          <w:szCs w:val="21"/>
        </w:rPr>
        <w:t>).</w:t>
      </w:r>
    </w:p>
    <w:p w:rsidR="00240528" w:rsidRPr="00A11E8D" w:rsidRDefault="00240528" w:rsidP="00240528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Le previsioni a medio termine indicano un possibile peggioramento meteo con precipitazioni deboli nelle giornate di </w:t>
      </w:r>
      <w:proofErr w:type="spellStart"/>
      <w:r>
        <w:rPr>
          <w:sz w:val="21"/>
          <w:szCs w:val="21"/>
        </w:rPr>
        <w:t>lunedi</w:t>
      </w:r>
      <w:proofErr w:type="spellEnd"/>
      <w:r>
        <w:rPr>
          <w:sz w:val="21"/>
          <w:szCs w:val="21"/>
        </w:rPr>
        <w:t xml:space="preserve"> e </w:t>
      </w:r>
      <w:proofErr w:type="spellStart"/>
      <w:r>
        <w:rPr>
          <w:sz w:val="21"/>
          <w:szCs w:val="21"/>
        </w:rPr>
        <w:t>martedi</w:t>
      </w:r>
      <w:proofErr w:type="spellEnd"/>
      <w:r>
        <w:rPr>
          <w:sz w:val="21"/>
          <w:szCs w:val="21"/>
        </w:rPr>
        <w:t xml:space="preserve"> che potrebbero diventare intense nei giorni successivi. </w:t>
      </w:r>
    </w:p>
    <w:p w:rsidR="00240528" w:rsidRPr="00A11E8D" w:rsidRDefault="00240528" w:rsidP="00240528">
      <w:pPr>
        <w:rPr>
          <w:sz w:val="21"/>
          <w:szCs w:val="21"/>
        </w:rPr>
      </w:pPr>
    </w:p>
    <w:p w:rsidR="00240528" w:rsidRPr="00A11E8D" w:rsidRDefault="00240528" w:rsidP="00240528">
      <w:pPr>
        <w:rPr>
          <w:sz w:val="21"/>
          <w:szCs w:val="21"/>
        </w:rPr>
      </w:pPr>
    </w:p>
    <w:p w:rsidR="00240528" w:rsidRPr="00C1188D" w:rsidRDefault="00240528" w:rsidP="00240528">
      <w:pPr>
        <w:jc w:val="both"/>
        <w:rPr>
          <w:b/>
          <w:i/>
          <w:sz w:val="21"/>
          <w:szCs w:val="21"/>
        </w:rPr>
      </w:pPr>
      <w:r w:rsidRPr="00A11E8D">
        <w:rPr>
          <w:b/>
          <w:i/>
          <w:sz w:val="21"/>
          <w:szCs w:val="21"/>
        </w:rPr>
        <w:t xml:space="preserve">Peronospora </w:t>
      </w:r>
    </w:p>
    <w:p w:rsidR="00240528" w:rsidRDefault="00240528" w:rsidP="00240528">
      <w:pPr>
        <w:jc w:val="both"/>
        <w:rPr>
          <w:sz w:val="21"/>
          <w:szCs w:val="21"/>
        </w:rPr>
      </w:pPr>
      <w:r>
        <w:rPr>
          <w:sz w:val="21"/>
          <w:szCs w:val="21"/>
        </w:rPr>
        <w:t>Le precipitazioni piovose del periodo pasquale  non hanno causato</w:t>
      </w:r>
      <w:r w:rsidRPr="00A11E8D">
        <w:rPr>
          <w:sz w:val="21"/>
          <w:szCs w:val="21"/>
        </w:rPr>
        <w:t xml:space="preserve"> infezioni di peronospora</w:t>
      </w:r>
      <w:r>
        <w:rPr>
          <w:sz w:val="21"/>
          <w:szCs w:val="21"/>
        </w:rPr>
        <w:t>, le stesse sono tuttavia da considerarsi preparatorie per possibili infezioni in corrispondenza delle piogge previste per la prossima settimana</w:t>
      </w:r>
      <w:r w:rsidRPr="00A11E8D">
        <w:rPr>
          <w:sz w:val="21"/>
          <w:szCs w:val="21"/>
        </w:rPr>
        <w:t xml:space="preserve">. </w:t>
      </w:r>
      <w:r>
        <w:rPr>
          <w:sz w:val="21"/>
          <w:szCs w:val="21"/>
        </w:rPr>
        <w:t xml:space="preserve">In considerazione del mutamento delle condizioni meteo previste, con precipitazioni significative in particolare a partire di </w:t>
      </w:r>
      <w:proofErr w:type="spellStart"/>
      <w:r>
        <w:rPr>
          <w:sz w:val="21"/>
          <w:szCs w:val="21"/>
        </w:rPr>
        <w:t>Mercoledi</w:t>
      </w:r>
      <w:proofErr w:type="spellEnd"/>
      <w:r>
        <w:rPr>
          <w:sz w:val="21"/>
          <w:szCs w:val="21"/>
        </w:rPr>
        <w:t xml:space="preserve"> 26 si suggerisce di intervenire  durante il fine settimana  con: </w:t>
      </w:r>
    </w:p>
    <w:p w:rsidR="00240528" w:rsidRDefault="00240528" w:rsidP="00240528">
      <w:pPr>
        <w:jc w:val="both"/>
        <w:rPr>
          <w:sz w:val="21"/>
          <w:szCs w:val="21"/>
        </w:rPr>
      </w:pPr>
    </w:p>
    <w:p w:rsidR="00240528" w:rsidRDefault="00240528" w:rsidP="00240528">
      <w:pPr>
        <w:jc w:val="both"/>
        <w:rPr>
          <w:sz w:val="21"/>
          <w:szCs w:val="21"/>
        </w:rPr>
      </w:pPr>
      <w:proofErr w:type="spellStart"/>
      <w:r w:rsidRPr="00C1188D">
        <w:rPr>
          <w:b/>
          <w:sz w:val="21"/>
          <w:szCs w:val="21"/>
        </w:rPr>
        <w:t>Dimetomorph</w:t>
      </w:r>
      <w:proofErr w:type="spellEnd"/>
      <w:r>
        <w:rPr>
          <w:sz w:val="21"/>
          <w:szCs w:val="21"/>
        </w:rPr>
        <w:t xml:space="preserve"> o </w:t>
      </w:r>
      <w:proofErr w:type="spellStart"/>
      <w:r w:rsidRPr="00C1188D">
        <w:rPr>
          <w:b/>
          <w:sz w:val="21"/>
          <w:szCs w:val="21"/>
        </w:rPr>
        <w:t>Mandipropamide</w:t>
      </w:r>
      <w:proofErr w:type="spellEnd"/>
      <w:r>
        <w:rPr>
          <w:sz w:val="21"/>
          <w:szCs w:val="21"/>
        </w:rPr>
        <w:t xml:space="preserve"> con </w:t>
      </w:r>
      <w:proofErr w:type="spellStart"/>
      <w:r>
        <w:rPr>
          <w:sz w:val="21"/>
          <w:szCs w:val="21"/>
        </w:rPr>
        <w:t>partners</w:t>
      </w:r>
      <w:proofErr w:type="spellEnd"/>
      <w:r>
        <w:rPr>
          <w:sz w:val="21"/>
          <w:szCs w:val="21"/>
        </w:rPr>
        <w:t xml:space="preserve"> di copertura </w:t>
      </w:r>
      <w:proofErr w:type="spellStart"/>
      <w:r w:rsidRPr="00C1188D">
        <w:rPr>
          <w:b/>
          <w:sz w:val="21"/>
          <w:szCs w:val="21"/>
        </w:rPr>
        <w:t>Metiram</w:t>
      </w:r>
      <w:proofErr w:type="spellEnd"/>
      <w:r>
        <w:rPr>
          <w:sz w:val="21"/>
          <w:szCs w:val="21"/>
        </w:rPr>
        <w:t xml:space="preserve"> o </w:t>
      </w:r>
      <w:proofErr w:type="spellStart"/>
      <w:r w:rsidRPr="00C1188D">
        <w:rPr>
          <w:b/>
          <w:sz w:val="21"/>
          <w:szCs w:val="21"/>
        </w:rPr>
        <w:t>Propineb</w:t>
      </w:r>
      <w:proofErr w:type="spellEnd"/>
      <w:r>
        <w:rPr>
          <w:sz w:val="21"/>
          <w:szCs w:val="21"/>
        </w:rPr>
        <w:t>, secondo le dosi minime ad ettaro indicate in etichetta.</w:t>
      </w:r>
    </w:p>
    <w:p w:rsidR="00240528" w:rsidRPr="00A11E8D" w:rsidRDefault="00240528" w:rsidP="00240528">
      <w:pPr>
        <w:jc w:val="both"/>
        <w:rPr>
          <w:sz w:val="21"/>
          <w:szCs w:val="21"/>
        </w:rPr>
      </w:pPr>
    </w:p>
    <w:p w:rsidR="00240528" w:rsidRPr="00A11E8D" w:rsidRDefault="00240528" w:rsidP="00240528">
      <w:pPr>
        <w:jc w:val="both"/>
        <w:rPr>
          <w:sz w:val="21"/>
          <w:szCs w:val="21"/>
        </w:rPr>
      </w:pPr>
    </w:p>
    <w:p w:rsidR="00240528" w:rsidRPr="00A11E8D" w:rsidRDefault="00240528" w:rsidP="00240528">
      <w:pPr>
        <w:rPr>
          <w:b/>
          <w:i/>
          <w:sz w:val="21"/>
          <w:szCs w:val="21"/>
        </w:rPr>
      </w:pPr>
      <w:r w:rsidRPr="00A11E8D">
        <w:rPr>
          <w:b/>
          <w:i/>
          <w:sz w:val="21"/>
          <w:szCs w:val="21"/>
        </w:rPr>
        <w:t xml:space="preserve">Oidio </w:t>
      </w:r>
    </w:p>
    <w:p w:rsidR="00240528" w:rsidRDefault="00240528" w:rsidP="00240528">
      <w:pPr>
        <w:jc w:val="both"/>
        <w:rPr>
          <w:sz w:val="21"/>
          <w:szCs w:val="21"/>
        </w:rPr>
      </w:pPr>
      <w:r w:rsidRPr="00A11E8D">
        <w:rPr>
          <w:sz w:val="21"/>
          <w:szCs w:val="21"/>
        </w:rPr>
        <w:t xml:space="preserve">I modelli previsionali </w:t>
      </w:r>
      <w:r>
        <w:rPr>
          <w:sz w:val="21"/>
          <w:szCs w:val="21"/>
        </w:rPr>
        <w:t>hanno indicato in concomitanza con le piogge del 15 e 16 Aprile possibili infezioni primarie che sono state controllate con gli interventi consigliati. Sempre in considerazione degli eventi piovosi previsti si suggerisce di intervenire con:</w:t>
      </w:r>
    </w:p>
    <w:p w:rsidR="00240528" w:rsidRDefault="00240528" w:rsidP="00240528">
      <w:pPr>
        <w:rPr>
          <w:sz w:val="21"/>
          <w:szCs w:val="21"/>
        </w:rPr>
      </w:pPr>
    </w:p>
    <w:p w:rsidR="00240528" w:rsidRDefault="00240528" w:rsidP="00240528">
      <w:pPr>
        <w:jc w:val="both"/>
        <w:rPr>
          <w:sz w:val="21"/>
          <w:szCs w:val="21"/>
        </w:rPr>
      </w:pPr>
      <w:proofErr w:type="spellStart"/>
      <w:r>
        <w:rPr>
          <w:b/>
          <w:sz w:val="21"/>
          <w:szCs w:val="21"/>
        </w:rPr>
        <w:t>Spiroxamina</w:t>
      </w:r>
      <w:proofErr w:type="spellEnd"/>
      <w:r>
        <w:rPr>
          <w:b/>
          <w:sz w:val="21"/>
          <w:szCs w:val="21"/>
        </w:rPr>
        <w:t xml:space="preserve"> </w:t>
      </w:r>
      <w:r>
        <w:rPr>
          <w:sz w:val="21"/>
          <w:szCs w:val="21"/>
        </w:rPr>
        <w:t xml:space="preserve">e </w:t>
      </w:r>
      <w:r w:rsidRPr="00C1188D">
        <w:rPr>
          <w:b/>
          <w:sz w:val="21"/>
          <w:szCs w:val="21"/>
        </w:rPr>
        <w:t>zolfo bagnabile</w:t>
      </w:r>
      <w:r>
        <w:rPr>
          <w:b/>
          <w:sz w:val="21"/>
          <w:szCs w:val="21"/>
        </w:rPr>
        <w:t xml:space="preserve"> </w:t>
      </w:r>
      <w:r>
        <w:rPr>
          <w:sz w:val="21"/>
          <w:szCs w:val="21"/>
        </w:rPr>
        <w:t>secondo le dosi minime ad ettaro indicate in etichetta.</w:t>
      </w:r>
    </w:p>
    <w:p w:rsidR="00240528" w:rsidRDefault="00240528" w:rsidP="00240528">
      <w:pPr>
        <w:rPr>
          <w:sz w:val="21"/>
          <w:szCs w:val="21"/>
        </w:rPr>
      </w:pPr>
    </w:p>
    <w:p w:rsidR="00240528" w:rsidRDefault="00240528" w:rsidP="00240528">
      <w:pPr>
        <w:rPr>
          <w:sz w:val="21"/>
          <w:szCs w:val="21"/>
        </w:rPr>
      </w:pPr>
    </w:p>
    <w:p w:rsidR="00240528" w:rsidRDefault="00240528" w:rsidP="00240528">
      <w:r>
        <w:rPr>
          <w:sz w:val="21"/>
          <w:szCs w:val="21"/>
        </w:rPr>
        <w:t>Coloro che avessero eseguito il trattamento ad inizio di questa settimana potranno intervenire prima delle precipitazioni previste per la metà della prossima settimana.</w:t>
      </w:r>
    </w:p>
    <w:p w:rsidR="00240528" w:rsidRDefault="00240528" w:rsidP="00240528"/>
    <w:p w:rsidR="00240528" w:rsidRPr="00C1188D" w:rsidRDefault="00240528" w:rsidP="00240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  <w:r w:rsidRPr="00C1188D">
        <w:rPr>
          <w:b/>
          <w:sz w:val="22"/>
          <w:szCs w:val="22"/>
        </w:rPr>
        <w:t xml:space="preserve">ATTENZIONE: È IMPORTANTE LEGGERE L’ETICHETTA DEI PRODOTTI COMMERCIALI PRIMA DELL’UTILIZZO E </w:t>
      </w:r>
      <w:proofErr w:type="spellStart"/>
      <w:r w:rsidRPr="00C1188D">
        <w:rPr>
          <w:b/>
          <w:sz w:val="22"/>
          <w:szCs w:val="22"/>
        </w:rPr>
        <w:t>DI</w:t>
      </w:r>
      <w:proofErr w:type="spellEnd"/>
      <w:r w:rsidRPr="00C1188D">
        <w:rPr>
          <w:b/>
          <w:sz w:val="22"/>
          <w:szCs w:val="22"/>
        </w:rPr>
        <w:t xml:space="preserve"> RISPETTARNE LE INDICAZIONI</w:t>
      </w:r>
    </w:p>
    <w:p w:rsidR="00293EE5" w:rsidRDefault="00293EE5"/>
    <w:sectPr w:rsidR="00293EE5" w:rsidSect="00D625F3">
      <w:pgSz w:w="11900" w:h="16840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40528"/>
    <w:rsid w:val="00240528"/>
    <w:rsid w:val="00293EE5"/>
    <w:rsid w:val="003962F7"/>
    <w:rsid w:val="008E6C8B"/>
    <w:rsid w:val="009A67B3"/>
    <w:rsid w:val="00D62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0528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4052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rpa.vene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</dc:creator>
  <cp:keywords/>
  <dc:description/>
  <cp:lastModifiedBy>Serenella</cp:lastModifiedBy>
  <cp:revision>3</cp:revision>
  <cp:lastPrinted>2017-04-21T14:02:00Z</cp:lastPrinted>
  <dcterms:created xsi:type="dcterms:W3CDTF">2017-04-21T06:06:00Z</dcterms:created>
  <dcterms:modified xsi:type="dcterms:W3CDTF">2017-04-21T14:05:00Z</dcterms:modified>
</cp:coreProperties>
</file>