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5D" w:rsidRPr="002B035D" w:rsidRDefault="002B035D" w:rsidP="001131DB">
      <w:pPr>
        <w:rPr>
          <w:b/>
        </w:rPr>
      </w:pPr>
      <w:r w:rsidRPr="002B035D">
        <w:rPr>
          <w:b/>
        </w:rPr>
        <w:t>PREMESSA</w:t>
      </w:r>
    </w:p>
    <w:p w:rsidR="002B035D" w:rsidRPr="00B77AFE" w:rsidRDefault="002B035D" w:rsidP="001131DB">
      <w:pPr>
        <w:rPr>
          <w:sz w:val="4"/>
        </w:rPr>
      </w:pPr>
    </w:p>
    <w:p w:rsidR="00F42B0B" w:rsidRDefault="002B035D" w:rsidP="001131DB">
      <w:r>
        <w:t xml:space="preserve">La nostra organizzazione ha definito con specifico regolamento interno le modalità per l’uso dei </w:t>
      </w:r>
      <w:bookmarkStart w:id="0" w:name="_GoBack"/>
      <w:bookmarkEnd w:id="0"/>
      <w:r>
        <w:t>sistemi informatici da parte degli utenti autorizzati.</w:t>
      </w:r>
    </w:p>
    <w:p w:rsidR="002B035D" w:rsidRDefault="002B035D" w:rsidP="001131DB">
      <w:r>
        <w:t>Il rispetto delle regole del suddetto documento è un requisito fondamentale per garantire il salvataggio dei dati definito dalla presente procedura.</w:t>
      </w:r>
    </w:p>
    <w:p w:rsidR="00F42B0B" w:rsidRPr="00B77AFE" w:rsidRDefault="00F42B0B" w:rsidP="002B035D">
      <w:pPr>
        <w:rPr>
          <w:sz w:val="10"/>
        </w:rPr>
      </w:pPr>
    </w:p>
    <w:p w:rsidR="002B035D" w:rsidRPr="002B035D" w:rsidRDefault="002B035D" w:rsidP="002B035D">
      <w:pPr>
        <w:rPr>
          <w:b/>
        </w:rPr>
      </w:pPr>
      <w:r w:rsidRPr="002B035D">
        <w:rPr>
          <w:b/>
        </w:rPr>
        <w:t xml:space="preserve">TABELLA ESECUZIONE DEL BACK –UP </w:t>
      </w:r>
    </w:p>
    <w:tbl>
      <w:tblPr>
        <w:tblW w:w="152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439"/>
        <w:gridCol w:w="900"/>
        <w:gridCol w:w="1424"/>
        <w:gridCol w:w="1456"/>
        <w:gridCol w:w="3364"/>
        <w:gridCol w:w="1417"/>
        <w:gridCol w:w="2268"/>
        <w:gridCol w:w="1535"/>
      </w:tblGrid>
      <w:tr w:rsidR="005347AC" w:rsidRPr="00DB4F64" w:rsidTr="006F47F2">
        <w:trPr>
          <w:cantSplit/>
        </w:trPr>
        <w:tc>
          <w:tcPr>
            <w:tcW w:w="1482" w:type="dxa"/>
            <w:vAlign w:val="center"/>
          </w:tcPr>
          <w:p w:rsidR="005347AC" w:rsidRPr="00DB4F64" w:rsidRDefault="005347AC" w:rsidP="002B035D">
            <w:pPr>
              <w:ind w:left="279" w:hanging="430"/>
              <w:jc w:val="center"/>
              <w:rPr>
                <w:rFonts w:ascii="Arial" w:hAnsi="Arial" w:cs="Arial"/>
                <w:b/>
                <w:sz w:val="20"/>
              </w:rPr>
            </w:pPr>
            <w:r w:rsidRPr="00DB4F64">
              <w:rPr>
                <w:rFonts w:ascii="Arial" w:hAnsi="Arial" w:cs="Arial"/>
                <w:b/>
                <w:sz w:val="20"/>
              </w:rPr>
              <w:t>Banca dati</w:t>
            </w:r>
          </w:p>
        </w:tc>
        <w:tc>
          <w:tcPr>
            <w:tcW w:w="1439" w:type="dxa"/>
            <w:vAlign w:val="center"/>
          </w:tcPr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F64">
              <w:rPr>
                <w:rFonts w:ascii="Arial" w:hAnsi="Arial" w:cs="Arial"/>
                <w:b/>
                <w:sz w:val="20"/>
              </w:rPr>
              <w:t>Supporto</w:t>
            </w:r>
          </w:p>
        </w:tc>
        <w:tc>
          <w:tcPr>
            <w:tcW w:w="900" w:type="dxa"/>
            <w:vAlign w:val="center"/>
          </w:tcPr>
          <w:p w:rsidR="005347AC" w:rsidRDefault="005347AC" w:rsidP="001345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F64">
              <w:rPr>
                <w:rFonts w:ascii="Arial" w:hAnsi="Arial" w:cs="Arial"/>
                <w:b/>
                <w:sz w:val="20"/>
              </w:rPr>
              <w:t>N°</w:t>
            </w:r>
          </w:p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DB4F64">
              <w:rPr>
                <w:rFonts w:ascii="Arial" w:hAnsi="Arial" w:cs="Arial"/>
                <w:b/>
                <w:sz w:val="20"/>
              </w:rPr>
              <w:t>copie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F64">
              <w:rPr>
                <w:rFonts w:ascii="Arial" w:hAnsi="Arial" w:cs="Arial"/>
                <w:b/>
                <w:sz w:val="20"/>
              </w:rPr>
              <w:t>Frequenza</w:t>
            </w:r>
          </w:p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DB4F64">
              <w:rPr>
                <w:rFonts w:ascii="Arial" w:hAnsi="Arial" w:cs="Arial"/>
                <w:b/>
                <w:sz w:val="20"/>
              </w:rPr>
              <w:t>minima</w:t>
            </w:r>
            <w:proofErr w:type="gramEnd"/>
          </w:p>
        </w:tc>
        <w:tc>
          <w:tcPr>
            <w:tcW w:w="1456" w:type="dxa"/>
            <w:vAlign w:val="center"/>
          </w:tcPr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proofErr w:type="gramStart"/>
            <w:r w:rsidRPr="00AC572C">
              <w:rPr>
                <w:rFonts w:ascii="Arial" w:hAnsi="Arial" w:cs="Arial"/>
                <w:b/>
                <w:sz w:val="20"/>
              </w:rPr>
              <w:t>Procedura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DB4F6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AC572C">
              <w:rPr>
                <w:rFonts w:ascii="Arial" w:hAnsi="Arial" w:cs="Arial"/>
                <w:b/>
                <w:sz w:val="20"/>
              </w:rPr>
              <w:t>Automatica</w:t>
            </w:r>
            <w:proofErr w:type="gramEnd"/>
          </w:p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4F64">
              <w:rPr>
                <w:rFonts w:ascii="Arial" w:hAnsi="Arial" w:cs="Arial"/>
                <w:b/>
                <w:sz w:val="20"/>
                <w:lang w:val="en-GB"/>
              </w:rPr>
              <w:t>(S/N)</w:t>
            </w:r>
          </w:p>
        </w:tc>
        <w:tc>
          <w:tcPr>
            <w:tcW w:w="3364" w:type="dxa"/>
            <w:vAlign w:val="center"/>
          </w:tcPr>
          <w:p w:rsidR="005347AC" w:rsidRPr="00DB4F64" w:rsidRDefault="005347AC" w:rsidP="001345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F64">
              <w:rPr>
                <w:rFonts w:ascii="Arial" w:hAnsi="Arial" w:cs="Arial"/>
                <w:b/>
                <w:sz w:val="20"/>
              </w:rPr>
              <w:t>Controlli</w:t>
            </w:r>
          </w:p>
        </w:tc>
        <w:tc>
          <w:tcPr>
            <w:tcW w:w="1417" w:type="dxa"/>
            <w:vAlign w:val="center"/>
          </w:tcPr>
          <w:p w:rsidR="005347AC" w:rsidRPr="00DB4F64" w:rsidRDefault="005347AC" w:rsidP="00DB1E9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B4F64">
              <w:rPr>
                <w:rFonts w:ascii="Arial" w:hAnsi="Arial" w:cs="Arial"/>
                <w:b/>
                <w:sz w:val="20"/>
              </w:rPr>
              <w:t>Resp</w:t>
            </w:r>
            <w:proofErr w:type="spellEnd"/>
            <w:r w:rsidRPr="00DB4F64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347AC" w:rsidRPr="00DB4F64" w:rsidRDefault="005347AC" w:rsidP="00DB1E9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Luogo di conservazione dei backup</w:t>
            </w:r>
          </w:p>
        </w:tc>
        <w:tc>
          <w:tcPr>
            <w:tcW w:w="1535" w:type="dxa"/>
            <w:vAlign w:val="center"/>
          </w:tcPr>
          <w:p w:rsidR="005347AC" w:rsidRPr="00DB4F64" w:rsidRDefault="005347AC" w:rsidP="00DB1E9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F64">
              <w:rPr>
                <w:rFonts w:ascii="Arial" w:hAnsi="Arial" w:cs="Arial"/>
                <w:b/>
                <w:sz w:val="20"/>
              </w:rPr>
              <w:t>Frequenza</w:t>
            </w:r>
          </w:p>
          <w:p w:rsidR="005347AC" w:rsidRPr="00DB4F64" w:rsidRDefault="005347AC" w:rsidP="00DB1E9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Test ripristino</w:t>
            </w:r>
          </w:p>
        </w:tc>
      </w:tr>
      <w:tr w:rsidR="00DE40F8" w:rsidRPr="00DB4F64" w:rsidTr="00DE40F8">
        <w:trPr>
          <w:cantSplit/>
          <w:trHeight w:val="735"/>
        </w:trPr>
        <w:tc>
          <w:tcPr>
            <w:tcW w:w="1482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:rsidR="00DE40F8" w:rsidRPr="00845137" w:rsidRDefault="00DE40F8" w:rsidP="00DE4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4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E40F8" w:rsidRPr="00845137" w:rsidRDefault="00DE40F8" w:rsidP="00DE4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DE40F8" w:rsidRPr="00845137" w:rsidRDefault="00DE40F8" w:rsidP="0031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567A" w:rsidRDefault="00A2567A" w:rsidP="00EA1718">
      <w:r>
        <w:t xml:space="preserve">La procedura di back-up è </w:t>
      </w:r>
      <w:r w:rsidR="006F47F2">
        <w:t>sottoposta automaticamente a test</w:t>
      </w:r>
      <w:r>
        <w:t xml:space="preserve"> e il sistema invia una e-mail di corretta esecuzione dello stesso dopo il test di verifica interno.</w:t>
      </w:r>
    </w:p>
    <w:p w:rsidR="00A2567A" w:rsidRPr="006F47F2" w:rsidRDefault="00A2567A" w:rsidP="00EA1718">
      <w:pPr>
        <w:rPr>
          <w:sz w:val="10"/>
        </w:rPr>
      </w:pPr>
    </w:p>
    <w:p w:rsidR="00845137" w:rsidRDefault="00EA1718" w:rsidP="00EA1718">
      <w:r>
        <w:t>Nessun file contenete dati deve essere salvato in cartelle sui computer “Client” se non per tempi limitati. In ogni caso il personale è informato che i supporti di memorizzazione diversi da quelli del server non sono soggetti a back-up.</w:t>
      </w:r>
    </w:p>
    <w:p w:rsidR="00845137" w:rsidRDefault="00845137" w:rsidP="00EA1718"/>
    <w:p w:rsidR="00845137" w:rsidRPr="00845137" w:rsidRDefault="00845137" w:rsidP="00EA1718">
      <w:pPr>
        <w:rPr>
          <w:b/>
        </w:rPr>
      </w:pPr>
      <w:r w:rsidRPr="00845137">
        <w:rPr>
          <w:b/>
        </w:rPr>
        <w:t>Conservazione copia aggiuntiva.</w:t>
      </w:r>
    </w:p>
    <w:p w:rsidR="00845137" w:rsidRDefault="00327B93" w:rsidP="00EA1718">
      <w:r>
        <w:t>Vedi indicazioni in tabella precedente</w:t>
      </w:r>
      <w:r w:rsidR="00845137">
        <w:t>.</w:t>
      </w:r>
    </w:p>
    <w:p w:rsidR="00EA1718" w:rsidRDefault="00EA1718" w:rsidP="00F42B0B">
      <w:pPr>
        <w:ind w:firstLine="708"/>
      </w:pPr>
    </w:p>
    <w:p w:rsidR="002B035D" w:rsidRPr="00DE40F8" w:rsidRDefault="002B035D" w:rsidP="00DE40F8">
      <w:pPr>
        <w:rPr>
          <w:b/>
        </w:rPr>
      </w:pPr>
      <w:r w:rsidRPr="00DE40F8">
        <w:rPr>
          <w:b/>
        </w:rPr>
        <w:t>Ripristino</w:t>
      </w:r>
    </w:p>
    <w:p w:rsidR="002D59A1" w:rsidRDefault="002B035D" w:rsidP="00DE40F8">
      <w:r w:rsidRPr="002B035D">
        <w:t>Il ripristino prevede l’effettuazione di prove a campione di lettura dei dati conservati sui supporti di backup, e la verifica della corrispondenza degli stessi con quelli attualmente in</w:t>
      </w:r>
      <w:r w:rsidR="005347AC">
        <w:t xml:space="preserve"> uso.</w:t>
      </w:r>
      <w:r w:rsidR="00327B93">
        <w:t xml:space="preserve"> </w:t>
      </w:r>
      <w:r w:rsidRPr="002B035D">
        <w:t>Viene regolarmente testata la procedura di ripristino (caricamento e verifica della possibilità di riutilizzo) dei dati conservati su supporto di backup come d</w:t>
      </w:r>
      <w:r w:rsidR="00EA1718">
        <w:t>efinito nella tabella seguente.</w:t>
      </w:r>
    </w:p>
    <w:p w:rsidR="005151FB" w:rsidRDefault="005151FB" w:rsidP="00DE40F8"/>
    <w:p w:rsidR="005151FB" w:rsidRDefault="005151FB" w:rsidP="00DE40F8"/>
    <w:p w:rsidR="005151FB" w:rsidRDefault="005151FB" w:rsidP="00DE40F8"/>
    <w:p w:rsidR="005151FB" w:rsidRDefault="005151FB" w:rsidP="00DE40F8"/>
    <w:p w:rsidR="005151FB" w:rsidRDefault="005151FB" w:rsidP="00DE40F8"/>
    <w:p w:rsidR="005151FB" w:rsidRDefault="005151FB" w:rsidP="00DE40F8"/>
    <w:p w:rsidR="005151FB" w:rsidRDefault="005151FB" w:rsidP="005151FB">
      <w:pPr>
        <w:rPr>
          <w:b/>
        </w:rPr>
      </w:pPr>
      <w:proofErr w:type="spellStart"/>
      <w:r>
        <w:rPr>
          <w:b/>
        </w:rPr>
        <w:t>Disaster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Recovery</w:t>
      </w:r>
      <w:proofErr w:type="spellEnd"/>
    </w:p>
    <w:p w:rsidR="005151FB" w:rsidRDefault="005151FB" w:rsidP="005151FB">
      <w:pPr>
        <w:rPr>
          <w:b/>
        </w:rPr>
      </w:pPr>
    </w:p>
    <w:p w:rsidR="005151FB" w:rsidRDefault="005151FB" w:rsidP="005151F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>
        <w:t xml:space="preserve">La struttura organizzativa che la nostra organizzazione ha predisposto presenta la seguente articolazione funzionale: </w:t>
      </w:r>
    </w:p>
    <w:p w:rsidR="005151FB" w:rsidRPr="004479EC" w:rsidRDefault="005151FB" w:rsidP="005151F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 w:rsidRPr="00DC2756">
        <w:rPr>
          <w:b/>
        </w:rPr>
        <w:t>Il Comitato di gestione della crisi</w:t>
      </w:r>
      <w:r>
        <w:t xml:space="preserve"> (C.G.C.) è composto dal titolare, dal </w:t>
      </w:r>
      <w:proofErr w:type="spellStart"/>
      <w:r>
        <w:t>resp</w:t>
      </w:r>
      <w:proofErr w:type="spellEnd"/>
      <w:r>
        <w:t xml:space="preserve">. Privacy e dal </w:t>
      </w:r>
      <w:proofErr w:type="spellStart"/>
      <w:r>
        <w:t>resp</w:t>
      </w:r>
      <w:proofErr w:type="spellEnd"/>
      <w:r>
        <w:t>. ICT, l’Amministratore di Sistema (con funzioni di supporto al Comitato)</w:t>
      </w:r>
    </w:p>
    <w:p w:rsidR="005151FB" w:rsidRDefault="005151FB" w:rsidP="005151F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</w:p>
    <w:p w:rsidR="005151FB" w:rsidRPr="005151FB" w:rsidRDefault="005151FB" w:rsidP="005151FB">
      <w:pPr>
        <w:pStyle w:val="NormaleWeb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>
        <w:t>La valutazione dell’emergenza è classificata in base alla criticità e livello di impatto sulla nostra organizzazione e sui soggetti interessati.</w:t>
      </w:r>
    </w:p>
    <w:p w:rsidR="005151FB" w:rsidRDefault="005151FB" w:rsidP="005151FB">
      <w:pPr>
        <w:rPr>
          <w:b/>
        </w:rPr>
      </w:pPr>
    </w:p>
    <w:tbl>
      <w:tblPr>
        <w:tblStyle w:val="Grigliatabella"/>
        <w:tblW w:w="15304" w:type="dxa"/>
        <w:tblLook w:val="04A0" w:firstRow="1" w:lastRow="0" w:firstColumn="1" w:lastColumn="0" w:noHBand="0" w:noVBand="1"/>
      </w:tblPr>
      <w:tblGrid>
        <w:gridCol w:w="1925"/>
        <w:gridCol w:w="10119"/>
        <w:gridCol w:w="1701"/>
        <w:gridCol w:w="1559"/>
      </w:tblGrid>
      <w:tr w:rsidR="005151FB" w:rsidTr="005151FB">
        <w:trPr>
          <w:tblHeader/>
        </w:trPr>
        <w:tc>
          <w:tcPr>
            <w:tcW w:w="1925" w:type="dxa"/>
            <w:shd w:val="clear" w:color="auto" w:fill="DEEAF6" w:themeFill="accent1" w:themeFillTint="33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Emergenza</w:t>
            </w:r>
          </w:p>
        </w:tc>
        <w:tc>
          <w:tcPr>
            <w:tcW w:w="10119" w:type="dxa"/>
            <w:shd w:val="clear" w:color="auto" w:fill="DEEAF6" w:themeFill="accent1" w:themeFillTint="33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Modalità di gestione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Responsabile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Registrazione</w:t>
            </w:r>
          </w:p>
        </w:tc>
      </w:tr>
      <w:tr w:rsidR="005151FB" w:rsidTr="005151FB">
        <w:tc>
          <w:tcPr>
            <w:tcW w:w="1925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Rottura dei server</w:t>
            </w:r>
          </w:p>
        </w:tc>
        <w:tc>
          <w:tcPr>
            <w:tcW w:w="1011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comitato gestione crisi.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Richiedere server di supporto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Recuperare copia dei dati, effettuare la migrazione sul nuovo server</w:t>
            </w:r>
          </w:p>
        </w:tc>
        <w:tc>
          <w:tcPr>
            <w:tcW w:w="1701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proofErr w:type="spellStart"/>
            <w:r>
              <w:t>Resp</w:t>
            </w:r>
            <w:proofErr w:type="spellEnd"/>
            <w:r>
              <w:t>. ITC</w:t>
            </w:r>
          </w:p>
        </w:tc>
        <w:tc>
          <w:tcPr>
            <w:tcW w:w="155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Su rapporto NC</w:t>
            </w:r>
          </w:p>
        </w:tc>
      </w:tr>
      <w:tr w:rsidR="005151FB" w:rsidTr="005151FB">
        <w:tc>
          <w:tcPr>
            <w:tcW w:w="1925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Virus che ha contaminato i dati</w:t>
            </w:r>
          </w:p>
          <w:p w:rsidR="005151FB" w:rsidRPr="00DC2756" w:rsidRDefault="005151FB" w:rsidP="0092112C"/>
          <w:p w:rsidR="005151FB" w:rsidRDefault="005151FB" w:rsidP="0092112C"/>
          <w:p w:rsidR="005151FB" w:rsidRDefault="005151FB" w:rsidP="0092112C"/>
          <w:p w:rsidR="005151FB" w:rsidRDefault="005151FB" w:rsidP="0092112C"/>
          <w:p w:rsidR="005151FB" w:rsidRPr="00DC2756" w:rsidRDefault="005151FB" w:rsidP="0092112C">
            <w:pPr>
              <w:jc w:val="right"/>
            </w:pPr>
          </w:p>
        </w:tc>
        <w:tc>
          <w:tcPr>
            <w:tcW w:w="1011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Interrompere collegamenti web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comitato gestione crisi.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Aggiornare antivirus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scansione e pulizia dati.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Recuperare copia dei dati, effettuare la migrazione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Ricollegare il sistema informativo</w:t>
            </w:r>
          </w:p>
        </w:tc>
        <w:tc>
          <w:tcPr>
            <w:tcW w:w="1701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proofErr w:type="spellStart"/>
            <w:r>
              <w:t>Resp</w:t>
            </w:r>
            <w:proofErr w:type="spellEnd"/>
            <w:r>
              <w:t>. C.G.C.</w:t>
            </w:r>
          </w:p>
        </w:tc>
        <w:tc>
          <w:tcPr>
            <w:tcW w:w="155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Su rapporto NC</w:t>
            </w:r>
          </w:p>
        </w:tc>
      </w:tr>
      <w:tr w:rsidR="005151FB" w:rsidTr="005151FB">
        <w:trPr>
          <w:trHeight w:val="2426"/>
        </w:trPr>
        <w:tc>
          <w:tcPr>
            <w:tcW w:w="1925" w:type="dxa"/>
          </w:tcPr>
          <w:p w:rsidR="005151FB" w:rsidRDefault="005151FB" w:rsidP="005151FB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Perdita o violazione di dispositivi e/o banche dati</w:t>
            </w:r>
          </w:p>
          <w:p w:rsidR="005151FB" w:rsidRPr="00DC2756" w:rsidRDefault="005151FB" w:rsidP="0092112C">
            <w:pPr>
              <w:jc w:val="right"/>
            </w:pPr>
          </w:p>
        </w:tc>
        <w:tc>
          <w:tcPr>
            <w:tcW w:w="1011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comitato gestione crisi.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Definire gravità e dimensioni della perdita.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Verificare se possibile scollegare ed “eliminare da remoto” i dati presenti sui dispositivi e/o banche dati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proofErr w:type="gramStart"/>
            <w:r>
              <w:t>i</w:t>
            </w:r>
            <w:proofErr w:type="gramEnd"/>
            <w:r>
              <w:t xml:space="preserve"> dispositivi.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Valutare comunicazione per “Data-</w:t>
            </w:r>
            <w:proofErr w:type="spellStart"/>
            <w:r>
              <w:t>breach</w:t>
            </w:r>
            <w:proofErr w:type="spellEnd"/>
            <w:r>
              <w:t xml:space="preserve">” 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Recuperare copia dei dati, effettuare la migrazione su nuovi dispositivi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Ricollegare il sistema informativo</w:t>
            </w:r>
          </w:p>
        </w:tc>
        <w:tc>
          <w:tcPr>
            <w:tcW w:w="1701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proofErr w:type="spellStart"/>
            <w:r>
              <w:t>Resp</w:t>
            </w:r>
            <w:proofErr w:type="spellEnd"/>
            <w:r>
              <w:t>. C.G.C.</w:t>
            </w:r>
          </w:p>
        </w:tc>
        <w:tc>
          <w:tcPr>
            <w:tcW w:w="155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Su rapporto NC</w:t>
            </w:r>
          </w:p>
        </w:tc>
      </w:tr>
      <w:tr w:rsidR="005151FB" w:rsidTr="005151FB">
        <w:tc>
          <w:tcPr>
            <w:tcW w:w="1925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Interruzione fonti energetiche locali</w:t>
            </w:r>
          </w:p>
        </w:tc>
        <w:tc>
          <w:tcPr>
            <w:tcW w:w="1011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comitato gestione crisi.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Richiedere sistema energetico alternativo.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lastRenderedPageBreak/>
              <w:t>Se non possibile avviare sistema di registrazione cartaceo</w:t>
            </w:r>
          </w:p>
        </w:tc>
        <w:tc>
          <w:tcPr>
            <w:tcW w:w="1701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proofErr w:type="spellStart"/>
            <w:r>
              <w:lastRenderedPageBreak/>
              <w:t>Resp</w:t>
            </w:r>
            <w:proofErr w:type="spellEnd"/>
            <w:r>
              <w:t>. C.G.C.</w:t>
            </w:r>
          </w:p>
        </w:tc>
        <w:tc>
          <w:tcPr>
            <w:tcW w:w="155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Su rapporto NC</w:t>
            </w:r>
          </w:p>
        </w:tc>
      </w:tr>
      <w:tr w:rsidR="005151FB" w:rsidTr="005151FB">
        <w:tc>
          <w:tcPr>
            <w:tcW w:w="1925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Indisponibilità dei locali operativi</w:t>
            </w:r>
          </w:p>
        </w:tc>
        <w:tc>
          <w:tcPr>
            <w:tcW w:w="1011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comitato gestione crisi.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Richiedere apertura dei locali alternativi.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Recuperare ultima copia dei dati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Recuperare server di supporto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Copiare i dati sul server</w:t>
            </w:r>
          </w:p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r>
              <w:t>Avviare i collegamenti e dare l’ok all’operatività ripresa</w:t>
            </w:r>
          </w:p>
        </w:tc>
        <w:tc>
          <w:tcPr>
            <w:tcW w:w="1701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both"/>
              <w:textAlignment w:val="baseline"/>
            </w:pPr>
            <w:proofErr w:type="spellStart"/>
            <w:r>
              <w:t>Resp</w:t>
            </w:r>
            <w:proofErr w:type="spellEnd"/>
            <w:r>
              <w:t>. C.G.C.</w:t>
            </w:r>
          </w:p>
        </w:tc>
        <w:tc>
          <w:tcPr>
            <w:tcW w:w="1559" w:type="dxa"/>
          </w:tcPr>
          <w:p w:rsidR="005151FB" w:rsidRDefault="005151FB" w:rsidP="0092112C">
            <w:pPr>
              <w:pStyle w:val="NormaleWeb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Su rapporto NC</w:t>
            </w:r>
          </w:p>
        </w:tc>
      </w:tr>
    </w:tbl>
    <w:p w:rsidR="005151FB" w:rsidRPr="00DE40F8" w:rsidRDefault="005151FB" w:rsidP="005151FB">
      <w:pPr>
        <w:rPr>
          <w:b/>
        </w:rPr>
      </w:pPr>
    </w:p>
    <w:sectPr w:rsidR="005151FB" w:rsidRPr="00DE40F8" w:rsidSect="002D59A1">
      <w:head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CE" w:rsidRDefault="001315CE">
      <w:r>
        <w:separator/>
      </w:r>
    </w:p>
  </w:endnote>
  <w:endnote w:type="continuationSeparator" w:id="0">
    <w:p w:rsidR="001315CE" w:rsidRDefault="0013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CE" w:rsidRDefault="001315CE">
      <w:r>
        <w:separator/>
      </w:r>
    </w:p>
  </w:footnote>
  <w:footnote w:type="continuationSeparator" w:id="0">
    <w:p w:rsidR="001315CE" w:rsidRDefault="00131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86"/>
      <w:gridCol w:w="9355"/>
      <w:gridCol w:w="2126"/>
    </w:tblGrid>
    <w:tr w:rsidR="00A2567A" w:rsidTr="001A6251">
      <w:trPr>
        <w:trHeight w:val="557"/>
      </w:trPr>
      <w:tc>
        <w:tcPr>
          <w:tcW w:w="3686" w:type="dxa"/>
          <w:vMerge w:val="restart"/>
          <w:vAlign w:val="center"/>
        </w:tcPr>
        <w:p w:rsidR="00AC572C" w:rsidRPr="00AC572C" w:rsidRDefault="00D93C73" w:rsidP="001A6251">
          <w:pPr>
            <w:jc w:val="center"/>
            <w:rPr>
              <w:rFonts w:ascii="Andalus" w:hAnsi="Andalus" w:cs="Andalus"/>
              <w:sz w:val="1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CANTINA DI CONEGLIANO E VITTORIO VENETO SAC</w:t>
          </w:r>
        </w:p>
      </w:tc>
      <w:tc>
        <w:tcPr>
          <w:tcW w:w="9355" w:type="dxa"/>
          <w:vMerge w:val="restart"/>
          <w:vAlign w:val="center"/>
        </w:tcPr>
        <w:p w:rsidR="00A2567A" w:rsidRPr="00D93C73" w:rsidRDefault="00A2567A" w:rsidP="002D59A1">
          <w:pPr>
            <w:jc w:val="center"/>
            <w:rPr>
              <w:rFonts w:ascii="Arial" w:hAnsi="Arial" w:cs="Arial"/>
              <w:b/>
              <w:sz w:val="28"/>
              <w:szCs w:val="28"/>
              <w:lang w:val="en-US"/>
            </w:rPr>
          </w:pPr>
          <w:proofErr w:type="spellStart"/>
          <w:r w:rsidRPr="00D93C73">
            <w:rPr>
              <w:rFonts w:ascii="Arial" w:hAnsi="Arial" w:cs="Arial"/>
              <w:b/>
              <w:sz w:val="28"/>
              <w:szCs w:val="28"/>
              <w:lang w:val="en-US"/>
            </w:rPr>
            <w:t>Procedura</w:t>
          </w:r>
          <w:proofErr w:type="spellEnd"/>
          <w:r w:rsidRPr="00D93C73">
            <w:rPr>
              <w:rFonts w:ascii="Arial" w:hAnsi="Arial" w:cs="Arial"/>
              <w:b/>
              <w:sz w:val="28"/>
              <w:szCs w:val="28"/>
              <w:lang w:val="en-US"/>
            </w:rPr>
            <w:t xml:space="preserve"> BACK-UP</w:t>
          </w:r>
          <w:r w:rsidR="005151FB" w:rsidRPr="00D93C73">
            <w:rPr>
              <w:rFonts w:ascii="Arial" w:hAnsi="Arial" w:cs="Arial"/>
              <w:b/>
              <w:sz w:val="28"/>
              <w:szCs w:val="28"/>
              <w:lang w:val="en-US"/>
            </w:rPr>
            <w:t xml:space="preserve"> e DISASTER RECOVERY</w:t>
          </w:r>
        </w:p>
      </w:tc>
      <w:tc>
        <w:tcPr>
          <w:tcW w:w="2126" w:type="dxa"/>
          <w:vAlign w:val="center"/>
        </w:tcPr>
        <w:p w:rsidR="00A2567A" w:rsidRDefault="00A2567A" w:rsidP="002D59A1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 00</w:t>
          </w:r>
        </w:p>
      </w:tc>
    </w:tr>
    <w:tr w:rsidR="00A2567A" w:rsidTr="00575400">
      <w:tblPrEx>
        <w:tblCellMar>
          <w:left w:w="108" w:type="dxa"/>
          <w:right w:w="108" w:type="dxa"/>
        </w:tblCellMar>
      </w:tblPrEx>
      <w:trPr>
        <w:trHeight w:val="346"/>
      </w:trPr>
      <w:tc>
        <w:tcPr>
          <w:tcW w:w="3686" w:type="dxa"/>
          <w:vMerge/>
        </w:tcPr>
        <w:p w:rsidR="00A2567A" w:rsidRDefault="00A2567A" w:rsidP="00967BD2">
          <w:pPr>
            <w:jc w:val="center"/>
            <w:rPr>
              <w:rFonts w:ascii="Andalus" w:hAnsi="Andalus" w:cs="Andalus"/>
              <w:b/>
              <w:noProof/>
              <w:sz w:val="28"/>
              <w:szCs w:val="28"/>
            </w:rPr>
          </w:pPr>
        </w:p>
      </w:tc>
      <w:tc>
        <w:tcPr>
          <w:tcW w:w="9355" w:type="dxa"/>
          <w:vMerge/>
          <w:vAlign w:val="center"/>
        </w:tcPr>
        <w:p w:rsidR="00A2567A" w:rsidRDefault="00A2567A" w:rsidP="002D59A1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126" w:type="dxa"/>
          <w:vAlign w:val="center"/>
        </w:tcPr>
        <w:p w:rsidR="00A2567A" w:rsidRPr="00A2567A" w:rsidRDefault="00A2567A" w:rsidP="00A2567A">
          <w:pPr>
            <w:jc w:val="center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93C73">
            <w:rPr>
              <w:noProof/>
            </w:rPr>
            <w:t>3</w:t>
          </w:r>
          <w:r>
            <w:fldChar w:fldCharType="end"/>
          </w:r>
          <w:r>
            <w:t xml:space="preserve"> di </w:t>
          </w:r>
          <w:fldSimple w:instr=" NUMPAGES  ">
            <w:r w:rsidR="00D93C73">
              <w:rPr>
                <w:noProof/>
              </w:rPr>
              <w:t>3</w:t>
            </w:r>
          </w:fldSimple>
        </w:p>
      </w:tc>
    </w:tr>
  </w:tbl>
  <w:p w:rsidR="00001889" w:rsidRDefault="00001889">
    <w:pPr>
      <w:pStyle w:val="Intestazione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46A"/>
    <w:multiLevelType w:val="hybridMultilevel"/>
    <w:tmpl w:val="8E3C10EA"/>
    <w:lvl w:ilvl="0" w:tplc="6A0A6D3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A04400"/>
    <w:multiLevelType w:val="hybridMultilevel"/>
    <w:tmpl w:val="CB3653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3B5E39B4"/>
    <w:multiLevelType w:val="hybridMultilevel"/>
    <w:tmpl w:val="4F1EC2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906F72">
      <w:start w:val="1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43CE6D53"/>
    <w:multiLevelType w:val="hybridMultilevel"/>
    <w:tmpl w:val="C28048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67B96"/>
    <w:multiLevelType w:val="hybridMultilevel"/>
    <w:tmpl w:val="C97AC3E2"/>
    <w:lvl w:ilvl="0" w:tplc="6A0A6D3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E334658"/>
    <w:multiLevelType w:val="hybridMultilevel"/>
    <w:tmpl w:val="FE8CF8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4E8A51A9"/>
    <w:multiLevelType w:val="hybridMultilevel"/>
    <w:tmpl w:val="52063E54"/>
    <w:lvl w:ilvl="0" w:tplc="E79CF0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6E64C42"/>
    <w:multiLevelType w:val="hybridMultilevel"/>
    <w:tmpl w:val="9A228C50"/>
    <w:lvl w:ilvl="0" w:tplc="E79CF0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1">
    <w:nsid w:val="6C0F5CA3"/>
    <w:multiLevelType w:val="hybridMultilevel"/>
    <w:tmpl w:val="647422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0400680"/>
    <w:multiLevelType w:val="hybridMultilevel"/>
    <w:tmpl w:val="C5D284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98"/>
    <w:rsid w:val="00001889"/>
    <w:rsid w:val="0004562B"/>
    <w:rsid w:val="00082339"/>
    <w:rsid w:val="00084CF5"/>
    <w:rsid w:val="00092935"/>
    <w:rsid w:val="00096D8D"/>
    <w:rsid w:val="000B554A"/>
    <w:rsid w:val="000C0281"/>
    <w:rsid w:val="000C1F57"/>
    <w:rsid w:val="001131DB"/>
    <w:rsid w:val="001315CE"/>
    <w:rsid w:val="00134585"/>
    <w:rsid w:val="00160CE6"/>
    <w:rsid w:val="00162BA0"/>
    <w:rsid w:val="00167E69"/>
    <w:rsid w:val="001A6251"/>
    <w:rsid w:val="001E0A1B"/>
    <w:rsid w:val="00267441"/>
    <w:rsid w:val="002B035D"/>
    <w:rsid w:val="002B536B"/>
    <w:rsid w:val="002D5569"/>
    <w:rsid w:val="002D59A1"/>
    <w:rsid w:val="00314765"/>
    <w:rsid w:val="00325B66"/>
    <w:rsid w:val="00327B93"/>
    <w:rsid w:val="00343758"/>
    <w:rsid w:val="003A5122"/>
    <w:rsid w:val="003F7315"/>
    <w:rsid w:val="0041020A"/>
    <w:rsid w:val="00430ADA"/>
    <w:rsid w:val="00472E5B"/>
    <w:rsid w:val="0048288D"/>
    <w:rsid w:val="004936B9"/>
    <w:rsid w:val="004C7D4F"/>
    <w:rsid w:val="005151FB"/>
    <w:rsid w:val="005347AC"/>
    <w:rsid w:val="0056132A"/>
    <w:rsid w:val="0056260E"/>
    <w:rsid w:val="00575400"/>
    <w:rsid w:val="00641D88"/>
    <w:rsid w:val="00672CE7"/>
    <w:rsid w:val="00674FF4"/>
    <w:rsid w:val="00687D37"/>
    <w:rsid w:val="006F244A"/>
    <w:rsid w:val="006F47F2"/>
    <w:rsid w:val="0072694C"/>
    <w:rsid w:val="007A347E"/>
    <w:rsid w:val="007A77C8"/>
    <w:rsid w:val="007E1520"/>
    <w:rsid w:val="00845137"/>
    <w:rsid w:val="008E1515"/>
    <w:rsid w:val="008E6EB2"/>
    <w:rsid w:val="009033FD"/>
    <w:rsid w:val="00924BA1"/>
    <w:rsid w:val="0094259D"/>
    <w:rsid w:val="00947598"/>
    <w:rsid w:val="00967BD2"/>
    <w:rsid w:val="009C416F"/>
    <w:rsid w:val="009D2882"/>
    <w:rsid w:val="00A12F11"/>
    <w:rsid w:val="00A2567A"/>
    <w:rsid w:val="00A5351D"/>
    <w:rsid w:val="00AC572C"/>
    <w:rsid w:val="00AC581E"/>
    <w:rsid w:val="00AE6085"/>
    <w:rsid w:val="00B03D25"/>
    <w:rsid w:val="00B1624F"/>
    <w:rsid w:val="00B46381"/>
    <w:rsid w:val="00B54804"/>
    <w:rsid w:val="00B77AFE"/>
    <w:rsid w:val="00BC0DFB"/>
    <w:rsid w:val="00BE02CB"/>
    <w:rsid w:val="00CF21E7"/>
    <w:rsid w:val="00D25C91"/>
    <w:rsid w:val="00D53624"/>
    <w:rsid w:val="00D93C73"/>
    <w:rsid w:val="00DB1E9F"/>
    <w:rsid w:val="00DD0C91"/>
    <w:rsid w:val="00DE40F8"/>
    <w:rsid w:val="00DF5521"/>
    <w:rsid w:val="00E1433C"/>
    <w:rsid w:val="00E5316A"/>
    <w:rsid w:val="00E57DAF"/>
    <w:rsid w:val="00EA1718"/>
    <w:rsid w:val="00EF1ECF"/>
    <w:rsid w:val="00F236A1"/>
    <w:rsid w:val="00F42B0B"/>
    <w:rsid w:val="00F44426"/>
    <w:rsid w:val="00F47CF0"/>
    <w:rsid w:val="00F65502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020AB7-AF23-49F4-9CF4-AA389310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7598"/>
    <w:pPr>
      <w:widowControl w:val="0"/>
      <w:overflowPunct w:val="0"/>
      <w:autoSpaceDE w:val="0"/>
      <w:autoSpaceDN w:val="0"/>
      <w:adjustRightInd w:val="0"/>
      <w:spacing w:before="50" w:after="5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113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47598"/>
    <w:pPr>
      <w:keepNext/>
      <w:tabs>
        <w:tab w:val="left" w:pos="709"/>
      </w:tabs>
      <w:spacing w:before="240" w:after="240"/>
      <w:outlineLvl w:val="1"/>
    </w:pPr>
    <w:rPr>
      <w:rFonts w:ascii="Arial" w:hAnsi="Arial"/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475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75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7598"/>
  </w:style>
  <w:style w:type="paragraph" w:styleId="Titolo">
    <w:name w:val="Title"/>
    <w:basedOn w:val="Normale"/>
    <w:qFormat/>
    <w:rsid w:val="001131DB"/>
    <w:pPr>
      <w:widowControl/>
      <w:overflowPunct/>
      <w:autoSpaceDE/>
      <w:autoSpaceDN/>
      <w:adjustRightInd/>
      <w:spacing w:before="0" w:after="0"/>
      <w:jc w:val="center"/>
      <w:textAlignment w:val="auto"/>
    </w:pPr>
    <w:rPr>
      <w:rFonts w:ascii="Arial" w:hAnsi="Arial" w:cs="Arial"/>
      <w:b/>
      <w:bCs/>
      <w:sz w:val="40"/>
      <w:szCs w:val="24"/>
    </w:rPr>
  </w:style>
  <w:style w:type="table" w:styleId="Grigliatabella">
    <w:name w:val="Table Grid"/>
    <w:basedOn w:val="Tabellanormale"/>
    <w:uiPriority w:val="39"/>
    <w:rsid w:val="002B03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rsid w:val="002D59A1"/>
    <w:pPr>
      <w:widowControl/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59A1"/>
  </w:style>
  <w:style w:type="paragraph" w:customStyle="1" w:styleId="4maiuscolo">
    <w:name w:val="4 maiuscolo"/>
    <w:basedOn w:val="Normale"/>
    <w:rsid w:val="002D59A1"/>
    <w:pPr>
      <w:widowControl/>
      <w:overflowPunct/>
      <w:autoSpaceDE/>
      <w:autoSpaceDN/>
      <w:adjustRightInd/>
      <w:spacing w:before="0" w:after="0"/>
      <w:textAlignment w:val="auto"/>
    </w:pPr>
    <w:rPr>
      <w:rFonts w:ascii="Times" w:hAnsi="Times"/>
      <w:b/>
      <w:caps/>
      <w:sz w:val="22"/>
    </w:rPr>
  </w:style>
  <w:style w:type="paragraph" w:styleId="Testofumetto">
    <w:name w:val="Balloon Text"/>
    <w:basedOn w:val="Normale"/>
    <w:link w:val="TestofumettoCarattere"/>
    <w:rsid w:val="00F44426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4442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151FB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3BCC-667F-4DD4-8E22-9C312AEB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TAR0004 CONTA COMPONENTI NASTRATI</vt:lpstr>
    </vt:vector>
  </TitlesOfParts>
  <Company>Hewlett-Packard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TAR0004 CONTA COMPONENTI NASTRATI</dc:title>
  <dc:subject/>
  <dc:creator>luigibastianello</dc:creator>
  <cp:keywords/>
  <cp:lastModifiedBy>user</cp:lastModifiedBy>
  <cp:revision>4</cp:revision>
  <cp:lastPrinted>2012-07-19T17:22:00Z</cp:lastPrinted>
  <dcterms:created xsi:type="dcterms:W3CDTF">2018-06-14T06:05:00Z</dcterms:created>
  <dcterms:modified xsi:type="dcterms:W3CDTF">2018-06-19T14:36:00Z</dcterms:modified>
</cp:coreProperties>
</file>